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43EC2" w:rsidR="00732FE5" w:rsidP="00257EEC" w:rsidRDefault="00732FE5" w14:paraId="5AA3DC67" w14:textId="53410528">
      <w:pPr>
        <w:spacing w:after="60"/>
        <w:ind w:right="720"/>
        <w:rPr>
          <w:rFonts w:ascii="Arial" w:hAnsi="Arial" w:cs="Arial"/>
          <w:b/>
          <w:bCs/>
          <w:color w:val="003241" w:themeColor="text2"/>
        </w:rPr>
      </w:pPr>
    </w:p>
    <w:p w:rsidRPr="00807A68" w:rsidR="001B1D32" w:rsidP="00870E18" w:rsidRDefault="001B1D32" w14:paraId="4711A575" w14:textId="4AE42F35">
      <w:pPr>
        <w:pStyle w:val="SubheadAscensus"/>
        <w:rPr>
          <w:color w:val="003241" w:themeColor="text2"/>
          <w:sz w:val="44"/>
          <w:szCs w:val="44"/>
        </w:rPr>
      </w:pPr>
      <w:r w:rsidRPr="42AF1BC7" w:rsidR="42AF1BC7">
        <w:rPr>
          <w:color w:val="003241" w:themeColor="text2" w:themeTint="FF" w:themeShade="FF"/>
          <w:sz w:val="44"/>
          <w:szCs w:val="44"/>
        </w:rPr>
        <w:t xml:space="preserve">Capitalizing on </w:t>
      </w:r>
      <w:r>
        <w:br/>
      </w:r>
      <w:r w:rsidRPr="42AF1BC7" w:rsidR="42AF1BC7">
        <w:rPr>
          <w:color w:val="003241" w:themeColor="text2" w:themeTint="FF" w:themeShade="FF"/>
          <w:sz w:val="44"/>
          <w:szCs w:val="44"/>
        </w:rPr>
        <w:t>Cash Balance at Merrill</w:t>
      </w:r>
    </w:p>
    <w:p w:rsidRPr="001B1D32" w:rsidR="001B1D32" w:rsidP="001B1D32" w:rsidRDefault="001B1D32" w14:paraId="3B4AD4A0" w14:textId="0F8A5A95">
      <w:pPr>
        <w:rPr>
          <w:rFonts w:ascii="Arial" w:hAnsi="Arial" w:cs="Arial"/>
          <w:b w:val="1"/>
          <w:bCs w:val="1"/>
          <w:color w:val="026B84" w:themeColor="accent2"/>
        </w:rPr>
      </w:pPr>
      <w:r>
        <w:br/>
      </w:r>
      <w:r w:rsidRPr="42AF1BC7" w:rsidR="42AF1BC7">
        <w:rPr>
          <w:rFonts w:ascii="Arial" w:hAnsi="Arial" w:cs="Arial"/>
          <w:b w:val="1"/>
          <w:bCs w:val="1"/>
          <w:color w:val="026B84" w:themeColor="accent2" w:themeTint="FF" w:themeShade="FF"/>
        </w:rPr>
        <w:t xml:space="preserve">How </w:t>
      </w:r>
      <w:proofErr w:type="spellStart"/>
      <w:r w:rsidRPr="42AF1BC7" w:rsidR="42AF1BC7">
        <w:rPr>
          <w:rFonts w:ascii="Arial" w:hAnsi="Arial" w:cs="Arial"/>
          <w:b w:val="1"/>
          <w:bCs w:val="1"/>
          <w:color w:val="026B84" w:themeColor="accent2" w:themeTint="FF" w:themeShade="FF"/>
        </w:rPr>
        <w:t>FuturePlan</w:t>
      </w:r>
      <w:proofErr w:type="spellEnd"/>
      <w:r w:rsidRPr="42AF1BC7" w:rsidR="42AF1BC7">
        <w:rPr>
          <w:rFonts w:ascii="Arial" w:hAnsi="Arial" w:cs="Arial"/>
          <w:b w:val="1"/>
          <w:bCs w:val="1"/>
          <w:color w:val="026B84" w:themeColor="accent2" w:themeTint="FF" w:themeShade="FF"/>
        </w:rPr>
        <w:t xml:space="preserve"> RVPs can build relationships with Merrill by using cash balance plans to help advisors and Workplace Benefits Specialists (WBSs) hit their ambitious goals.</w:t>
      </w:r>
    </w:p>
    <w:p w:rsidRPr="00E43EC2" w:rsidR="00B12016" w:rsidP="00870E18" w:rsidRDefault="00B12016" w14:paraId="501B1B3E" w14:textId="1F37D09D">
      <w:pPr>
        <w:pStyle w:val="SubheadAscensus"/>
        <w:rPr>
          <w:color w:val="026B84" w:themeColor="accent2"/>
          <w:sz w:val="20"/>
          <w:szCs w:val="20"/>
        </w:rPr>
      </w:pPr>
    </w:p>
    <w:p w:rsidRPr="00E43EC2" w:rsidR="001D6F7F" w:rsidP="00257EEC" w:rsidRDefault="001D6F7F" w14:paraId="3AF0ED85" w14:textId="77777777">
      <w:pPr>
        <w:ind w:right="720"/>
        <w:rPr>
          <w:rFonts w:ascii="Arial" w:hAnsi="Arial" w:cs="Arial"/>
          <w:b/>
          <w:bCs/>
          <w:color w:val="026B84" w:themeColor="accent2"/>
          <w:sz w:val="20"/>
          <w:szCs w:val="20"/>
        </w:rPr>
      </w:pPr>
    </w:p>
    <w:tbl>
      <w:tblPr>
        <w:tblStyle w:val="TableGrid"/>
        <w:tblW w:w="0" w:type="auto"/>
        <w:tblBorders>
          <w:top w:val="single" w:color="C3C3C3" w:themeColor="background2" w:sz="4" w:space="0"/>
          <w:left w:val="single" w:color="C3C3C3" w:themeColor="background2" w:sz="4" w:space="0"/>
          <w:bottom w:val="single" w:color="C3C3C3" w:themeColor="background2" w:sz="4" w:space="0"/>
          <w:right w:val="single" w:color="C3C3C3" w:themeColor="background2" w:sz="4" w:space="0"/>
          <w:insideH w:val="single" w:color="C3C3C3" w:themeColor="background2" w:sz="4" w:space="0"/>
          <w:insideV w:val="single" w:color="C3C3C3" w:themeColor="background2" w:sz="4" w:space="0"/>
        </w:tblBorders>
        <w:tblCellMar>
          <w:top w:w="115" w:type="dxa"/>
          <w:bottom w:w="115" w:type="dxa"/>
        </w:tblCellMar>
        <w:tblLook w:val="04A0" w:firstRow="1" w:lastRow="0" w:firstColumn="1" w:lastColumn="0" w:noHBand="0" w:noVBand="1"/>
      </w:tblPr>
      <w:tblGrid>
        <w:gridCol w:w="5940"/>
        <w:gridCol w:w="3410"/>
      </w:tblGrid>
      <w:tr w:rsidRPr="000676BF" w:rsidR="000676BF" w:rsidTr="42AF1BC7" w14:paraId="673D07FB" w14:textId="77777777">
        <w:tc>
          <w:tcPr>
            <w:tcW w:w="5940" w:type="dxa"/>
            <w:shd w:val="clear" w:color="auto" w:fill="00A88C" w:themeFill="accent1"/>
            <w:tcMar/>
          </w:tcPr>
          <w:p w:rsidRPr="000676BF" w:rsidR="001B1D32" w:rsidP="001B1D32" w:rsidRDefault="001B1D32" w14:paraId="6159A401" w14:textId="77777777">
            <w:pPr>
              <w:rPr>
                <w:rFonts w:cstheme="minorHAnsi"/>
                <w:b/>
                <w:bCs/>
                <w:color w:val="FFFFFF" w:themeColor="background1"/>
                <w:sz w:val="20"/>
                <w:szCs w:val="20"/>
              </w:rPr>
            </w:pPr>
            <w:r w:rsidRPr="000676BF">
              <w:rPr>
                <w:rFonts w:cstheme="minorHAnsi"/>
                <w:b/>
                <w:bCs/>
                <w:color w:val="FFFFFF" w:themeColor="background1"/>
                <w:sz w:val="20"/>
                <w:szCs w:val="20"/>
              </w:rPr>
              <w:t>Enhance the three Rs of effective sales</w:t>
            </w:r>
          </w:p>
          <w:p w:rsidRPr="000676BF" w:rsidR="001B1D32" w:rsidP="001B1D32" w:rsidRDefault="001B1D32" w14:paraId="778DBD2E" w14:textId="46F5922E">
            <w:pPr>
              <w:rPr>
                <w:rFonts w:cstheme="minorHAnsi"/>
                <w:b/>
                <w:bCs/>
                <w:color w:val="FFFFFF" w:themeColor="background1"/>
                <w:sz w:val="20"/>
                <w:szCs w:val="20"/>
              </w:rPr>
            </w:pPr>
            <w:r w:rsidRPr="000676BF">
              <w:rPr>
                <w:rFonts w:cstheme="minorHAnsi"/>
                <w:color w:val="FFFFFF" w:themeColor="background1"/>
                <w:sz w:val="20"/>
                <w:szCs w:val="20"/>
              </w:rPr>
              <w:t>Bringing cash balance plans to Merrill allows RVPs to strengthen each of the core elements of meaningful sales relationships:</w:t>
            </w:r>
          </w:p>
        </w:tc>
        <w:tc>
          <w:tcPr>
            <w:tcW w:w="3410" w:type="dxa"/>
            <w:shd w:val="clear" w:color="auto" w:fill="00A88C" w:themeFill="accent1"/>
            <w:tcMar/>
          </w:tcPr>
          <w:p w:rsidRPr="000676BF" w:rsidR="001B1D32" w:rsidP="00A6003A" w:rsidRDefault="001B1D32" w14:paraId="139F744A" w14:textId="7B33BCC5">
            <w:pPr>
              <w:rPr>
                <w:rFonts w:cstheme="minorHAnsi"/>
                <w:b/>
                <w:bCs/>
                <w:color w:val="FFFFFF" w:themeColor="background1"/>
                <w:sz w:val="20"/>
                <w:szCs w:val="20"/>
              </w:rPr>
            </w:pPr>
            <w:r w:rsidRPr="000676BF">
              <w:rPr>
                <w:rFonts w:cstheme="minorHAnsi"/>
                <w:b/>
                <w:bCs/>
                <w:color w:val="FFFFFF" w:themeColor="background1"/>
                <w:sz w:val="20"/>
                <w:szCs w:val="20"/>
              </w:rPr>
              <w:t xml:space="preserve">Position </w:t>
            </w:r>
            <w:proofErr w:type="spellStart"/>
            <w:r w:rsidRPr="000676BF">
              <w:rPr>
                <w:rFonts w:cstheme="minorHAnsi"/>
                <w:b/>
                <w:bCs/>
                <w:color w:val="FFFFFF" w:themeColor="background1"/>
                <w:sz w:val="20"/>
                <w:szCs w:val="20"/>
              </w:rPr>
              <w:t>FuturePlan</w:t>
            </w:r>
            <w:proofErr w:type="spellEnd"/>
            <w:r w:rsidRPr="000676BF">
              <w:rPr>
                <w:rFonts w:cstheme="minorHAnsi"/>
                <w:b/>
                <w:bCs/>
                <w:color w:val="FFFFFF" w:themeColor="background1"/>
                <w:sz w:val="20"/>
                <w:szCs w:val="20"/>
              </w:rPr>
              <w:t xml:space="preserve"> as Merrill’s trusted partner for cash balance</w:t>
            </w:r>
          </w:p>
        </w:tc>
      </w:tr>
      <w:tr w:rsidRPr="001B1D32" w:rsidR="001B1D32" w:rsidTr="42AF1BC7" w14:paraId="6D946557" w14:textId="77777777">
        <w:tc>
          <w:tcPr>
            <w:tcW w:w="5940" w:type="dxa"/>
            <w:shd w:val="clear" w:color="auto" w:fill="F2F2F2" w:themeFill="background1" w:themeFillShade="F2"/>
            <w:tcMar/>
          </w:tcPr>
          <w:p w:rsidRPr="001B1D32" w:rsidR="001B1D32" w:rsidP="001B1D32" w:rsidRDefault="001B1D32" w14:paraId="67BAD2EE" w14:textId="77777777">
            <w:pPr>
              <w:pStyle w:val="ListParagraph"/>
              <w:numPr>
                <w:ilvl w:val="0"/>
                <w:numId w:val="6"/>
              </w:numPr>
              <w:rPr>
                <w:rFonts w:cstheme="minorHAnsi"/>
                <w:sz w:val="20"/>
                <w:szCs w:val="20"/>
              </w:rPr>
            </w:pPr>
            <w:r w:rsidRPr="001B1D32">
              <w:rPr>
                <w:rFonts w:cstheme="minorHAnsi"/>
                <w:b/>
                <w:bCs/>
                <w:sz w:val="20"/>
                <w:szCs w:val="20"/>
              </w:rPr>
              <w:t xml:space="preserve">Reputation: </w:t>
            </w:r>
            <w:r w:rsidRPr="001B1D32">
              <w:rPr>
                <w:rFonts w:cstheme="minorHAnsi"/>
                <w:sz w:val="20"/>
                <w:szCs w:val="20"/>
              </w:rPr>
              <w:t xml:space="preserve">Showcasing </w:t>
            </w:r>
            <w:proofErr w:type="spellStart"/>
            <w:r w:rsidRPr="001B1D32">
              <w:rPr>
                <w:rFonts w:cstheme="minorHAnsi"/>
                <w:sz w:val="20"/>
                <w:szCs w:val="20"/>
              </w:rPr>
              <w:t>FuturePlan’s</w:t>
            </w:r>
            <w:proofErr w:type="spellEnd"/>
            <w:r w:rsidRPr="001B1D32">
              <w:rPr>
                <w:rFonts w:cstheme="minorHAnsi"/>
                <w:sz w:val="20"/>
                <w:szCs w:val="20"/>
              </w:rPr>
              <w:t xml:space="preserve"> vast expertise (more than 400 actuaries and a deep bench of ERISA experts) and experience (35+ years) in cash balance plans positions you as the most trusted resource for these powerful qualified retirement plans</w:t>
            </w:r>
          </w:p>
          <w:p w:rsidRPr="001B1D32" w:rsidR="001B1D32" w:rsidP="001B1D32" w:rsidRDefault="001B1D32" w14:paraId="053ADB57" w14:textId="77777777">
            <w:pPr>
              <w:pStyle w:val="ListParagraph"/>
              <w:numPr>
                <w:ilvl w:val="0"/>
                <w:numId w:val="6"/>
              </w:numPr>
              <w:rPr>
                <w:rFonts w:cstheme="minorHAnsi"/>
                <w:sz w:val="20"/>
                <w:szCs w:val="20"/>
              </w:rPr>
            </w:pPr>
            <w:r w:rsidRPr="001B1D32">
              <w:rPr>
                <w:rFonts w:cstheme="minorHAnsi"/>
                <w:b/>
                <w:bCs/>
                <w:sz w:val="20"/>
                <w:szCs w:val="20"/>
              </w:rPr>
              <w:t xml:space="preserve">Rapport: </w:t>
            </w:r>
            <w:r w:rsidRPr="001B1D32">
              <w:rPr>
                <w:rFonts w:cstheme="minorHAnsi"/>
                <w:sz w:val="20"/>
                <w:szCs w:val="20"/>
              </w:rPr>
              <w:t>Getting to know advisors’ and WBSs’ personal stories, goals, and clients allows you to show how cash balance plans align with the things that matter most for people throughout Merrill</w:t>
            </w:r>
          </w:p>
          <w:p w:rsidRPr="001B1D32" w:rsidR="001B1D32" w:rsidP="001B1D32" w:rsidRDefault="001B1D32" w14:paraId="3DFD5B24" w14:textId="77777777">
            <w:pPr>
              <w:pStyle w:val="ListParagraph"/>
              <w:numPr>
                <w:ilvl w:val="0"/>
                <w:numId w:val="6"/>
              </w:numPr>
              <w:rPr>
                <w:rFonts w:cstheme="minorHAnsi"/>
                <w:sz w:val="20"/>
                <w:szCs w:val="20"/>
              </w:rPr>
            </w:pPr>
            <w:r w:rsidRPr="001B1D32">
              <w:rPr>
                <w:rFonts w:cstheme="minorHAnsi"/>
                <w:b/>
                <w:bCs/>
                <w:sz w:val="20"/>
                <w:szCs w:val="20"/>
              </w:rPr>
              <w:t xml:space="preserve">Responsiveness: </w:t>
            </w:r>
            <w:r w:rsidRPr="001B1D32">
              <w:rPr>
                <w:rFonts w:cstheme="minorHAnsi"/>
                <w:sz w:val="20"/>
                <w:szCs w:val="20"/>
              </w:rPr>
              <w:t>Responding quickly to advisors’ and WBSs’ questions about cash balance plans and guiding clients throughout the onboarding process builds trust and confidence</w:t>
            </w:r>
          </w:p>
          <w:p w:rsidRPr="001B1D32" w:rsidR="001B1D32" w:rsidP="00A6003A" w:rsidRDefault="001B1D32" w14:paraId="3B9E594F" w14:textId="77777777">
            <w:pPr>
              <w:rPr>
                <w:rFonts w:cstheme="minorHAnsi"/>
                <w:i/>
                <w:iCs/>
                <w:sz w:val="20"/>
                <w:szCs w:val="20"/>
              </w:rPr>
            </w:pPr>
          </w:p>
        </w:tc>
        <w:tc>
          <w:tcPr>
            <w:tcW w:w="3410" w:type="dxa"/>
            <w:shd w:val="clear" w:color="auto" w:fill="F2F2F2" w:themeFill="background1" w:themeFillShade="F2"/>
            <w:tcMar/>
          </w:tcPr>
          <w:p w:rsidRPr="001B1D32" w:rsidR="001B1D32" w:rsidP="00A6003A" w:rsidRDefault="001B1D32" w14:paraId="37CA18C4" w14:textId="77777777">
            <w:pPr>
              <w:rPr>
                <w:rFonts w:eastAsia="Aptos" w:cstheme="minorHAnsi"/>
                <w:sz w:val="20"/>
                <w:szCs w:val="20"/>
              </w:rPr>
            </w:pPr>
            <w:proofErr w:type="spellStart"/>
            <w:r w:rsidRPr="001B1D32">
              <w:rPr>
                <w:rFonts w:eastAsia="Aptos" w:cstheme="minorHAnsi"/>
                <w:sz w:val="20"/>
                <w:szCs w:val="20"/>
              </w:rPr>
              <w:t>FuturePlan</w:t>
            </w:r>
            <w:proofErr w:type="spellEnd"/>
            <w:r w:rsidRPr="001B1D32">
              <w:rPr>
                <w:rFonts w:eastAsia="Aptos" w:cstheme="minorHAnsi"/>
                <w:sz w:val="20"/>
                <w:szCs w:val="20"/>
              </w:rPr>
              <w:t xml:space="preserve"> is an approved actuarial provider for Merrill’s Cash Balance Program and one of the retirement industry’s largest administrators of these plans. Our in-house experts are dedicated to helping advisors put the power of these retirement plans to work for their clients—and their practice.</w:t>
            </w:r>
          </w:p>
          <w:p w:rsidRPr="001B1D32" w:rsidR="001B1D32" w:rsidP="00A6003A" w:rsidRDefault="001B1D32" w14:paraId="5F24F802" w14:textId="77777777">
            <w:pPr>
              <w:rPr>
                <w:rFonts w:cstheme="minorHAnsi"/>
                <w:sz w:val="20"/>
                <w:szCs w:val="20"/>
              </w:rPr>
            </w:pPr>
          </w:p>
          <w:p w:rsidRPr="001B1D32" w:rsidR="001B1D32" w:rsidP="00A6003A" w:rsidRDefault="001B1D32" w14:paraId="284B58A4" w14:textId="77777777">
            <w:pPr>
              <w:rPr>
                <w:rFonts w:cstheme="minorHAnsi"/>
                <w:i/>
                <w:iCs/>
                <w:sz w:val="20"/>
                <w:szCs w:val="20"/>
              </w:rPr>
            </w:pPr>
          </w:p>
        </w:tc>
      </w:tr>
    </w:tbl>
    <w:p w:rsidR="001B1D32" w:rsidP="001B1D32" w:rsidRDefault="001B1D32" w14:paraId="7100ABAB" w14:textId="77777777">
      <w:pPr>
        <w:rPr>
          <w:i/>
          <w:iCs/>
        </w:rPr>
      </w:pPr>
    </w:p>
    <w:tbl>
      <w:tblPr>
        <w:tblStyle w:val="TableGrid"/>
        <w:tblW w:w="0" w:type="auto"/>
        <w:tblBorders>
          <w:top w:val="single" w:color="C3C3C3" w:themeColor="background2" w:sz="4" w:space="0"/>
          <w:left w:val="single" w:color="C3C3C3" w:themeColor="background2" w:sz="4" w:space="0"/>
          <w:bottom w:val="single" w:color="C3C3C3" w:themeColor="background2" w:sz="4" w:space="0"/>
          <w:right w:val="single" w:color="C3C3C3" w:themeColor="background2" w:sz="4" w:space="0"/>
          <w:insideH w:val="single" w:color="C3C3C3" w:themeColor="background2" w:sz="4" w:space="0"/>
          <w:insideV w:val="single" w:color="C3C3C3" w:themeColor="background2" w:sz="4" w:space="0"/>
        </w:tblBorders>
        <w:tblCellMar>
          <w:top w:w="115" w:type="dxa"/>
          <w:bottom w:w="115" w:type="dxa"/>
        </w:tblCellMar>
        <w:tblLook w:val="04A0" w:firstRow="1" w:lastRow="0" w:firstColumn="1" w:lastColumn="0" w:noHBand="0" w:noVBand="1"/>
      </w:tblPr>
      <w:tblGrid>
        <w:gridCol w:w="3116"/>
        <w:gridCol w:w="3117"/>
        <w:gridCol w:w="3117"/>
      </w:tblGrid>
      <w:tr w:rsidRPr="000676BF" w:rsidR="000676BF" w:rsidTr="42AF1BC7" w14:paraId="1DD19A73" w14:textId="77777777">
        <w:tc>
          <w:tcPr>
            <w:tcW w:w="9350" w:type="dxa"/>
            <w:gridSpan w:val="3"/>
            <w:shd w:val="clear" w:color="auto" w:fill="00A88C" w:themeFill="accent1"/>
            <w:tcMar/>
          </w:tcPr>
          <w:p w:rsidRPr="000676BF" w:rsidR="001B1D32" w:rsidP="00A6003A" w:rsidRDefault="001B1D32" w14:paraId="41C6C312" w14:textId="77777777">
            <w:pPr>
              <w:rPr>
                <w:b/>
                <w:bCs/>
                <w:color w:val="FFFFFF" w:themeColor="background1"/>
                <w:sz w:val="20"/>
                <w:szCs w:val="20"/>
              </w:rPr>
            </w:pPr>
            <w:r w:rsidRPr="000676BF">
              <w:rPr>
                <w:b/>
                <w:bCs/>
                <w:color w:val="FFFFFF" w:themeColor="background1"/>
                <w:sz w:val="20"/>
                <w:szCs w:val="20"/>
              </w:rPr>
              <w:t>Focus on what’s in it for them</w:t>
            </w:r>
          </w:p>
          <w:p w:rsidRPr="000676BF" w:rsidR="001B1D32" w:rsidP="00A6003A" w:rsidRDefault="001B1D32" w14:paraId="01365E70" w14:textId="77777777">
            <w:pPr>
              <w:rPr>
                <w:color w:val="FFFFFF" w:themeColor="background1"/>
                <w:sz w:val="20"/>
                <w:szCs w:val="20"/>
              </w:rPr>
            </w:pPr>
            <w:r w:rsidRPr="000676BF">
              <w:rPr>
                <w:color w:val="FFFFFF" w:themeColor="background1"/>
                <w:sz w:val="20"/>
                <w:szCs w:val="20"/>
              </w:rPr>
              <w:t xml:space="preserve">Although cash balance plans aren’t as well-known as other retirement plans, explaining the benefits of cash balance plans to each of these groups inspires them to learn more. </w:t>
            </w:r>
          </w:p>
        </w:tc>
      </w:tr>
      <w:tr w:rsidRPr="001B1D32" w:rsidR="001B1D32" w:rsidTr="42AF1BC7" w14:paraId="2F55029D" w14:textId="77777777">
        <w:tc>
          <w:tcPr>
            <w:tcW w:w="3116" w:type="dxa"/>
            <w:shd w:val="clear" w:color="auto" w:fill="F2F2F2" w:themeFill="background1" w:themeFillShade="F2"/>
            <w:tcMar/>
          </w:tcPr>
          <w:p w:rsidRPr="001B1D32" w:rsidR="001B1D32" w:rsidP="00A6003A" w:rsidRDefault="001B1D32" w14:paraId="0D1EE441" w14:textId="77777777">
            <w:pPr>
              <w:rPr>
                <w:b/>
                <w:bCs/>
                <w:sz w:val="20"/>
                <w:szCs w:val="20"/>
              </w:rPr>
            </w:pPr>
            <w:r w:rsidRPr="001B1D32">
              <w:rPr>
                <w:b/>
                <w:bCs/>
                <w:sz w:val="20"/>
                <w:szCs w:val="20"/>
              </w:rPr>
              <w:t>Advisors</w:t>
            </w:r>
          </w:p>
          <w:p w:rsidRPr="001B1D32" w:rsidR="001B1D32" w:rsidP="001B1D32" w:rsidRDefault="001B1D32" w14:paraId="7527529C" w14:textId="77777777">
            <w:pPr>
              <w:pStyle w:val="ListParagraph"/>
              <w:numPr>
                <w:ilvl w:val="0"/>
                <w:numId w:val="5"/>
              </w:numPr>
              <w:ind w:left="422"/>
              <w:rPr>
                <w:sz w:val="20"/>
                <w:szCs w:val="20"/>
              </w:rPr>
            </w:pPr>
            <w:r w:rsidRPr="001B1D32">
              <w:rPr>
                <w:sz w:val="20"/>
                <w:szCs w:val="20"/>
              </w:rPr>
              <w:t>Grow and differentiate your practice</w:t>
            </w:r>
          </w:p>
          <w:p w:rsidRPr="001B1D32" w:rsidR="001B1D32" w:rsidP="001B1D32" w:rsidRDefault="001B1D32" w14:paraId="00992DB0" w14:textId="77777777">
            <w:pPr>
              <w:pStyle w:val="ListParagraph"/>
              <w:numPr>
                <w:ilvl w:val="0"/>
                <w:numId w:val="5"/>
              </w:numPr>
              <w:ind w:left="422"/>
              <w:rPr>
                <w:sz w:val="20"/>
                <w:szCs w:val="20"/>
              </w:rPr>
            </w:pPr>
            <w:r w:rsidRPr="001B1D32">
              <w:rPr>
                <w:sz w:val="20"/>
                <w:szCs w:val="20"/>
              </w:rPr>
              <w:t>Generate recurring inflows from A+ clients (business owners)</w:t>
            </w:r>
          </w:p>
          <w:p w:rsidRPr="001B1D32" w:rsidR="001B1D32" w:rsidP="001B1D32" w:rsidRDefault="001B1D32" w14:paraId="0F7A702A" w14:textId="77777777">
            <w:pPr>
              <w:pStyle w:val="ListParagraph"/>
              <w:numPr>
                <w:ilvl w:val="0"/>
                <w:numId w:val="5"/>
              </w:numPr>
              <w:ind w:left="422"/>
              <w:rPr>
                <w:sz w:val="20"/>
                <w:szCs w:val="20"/>
              </w:rPr>
            </w:pPr>
            <w:r w:rsidRPr="001B1D32">
              <w:rPr>
                <w:sz w:val="20"/>
                <w:szCs w:val="20"/>
              </w:rPr>
              <w:t>Offer a high-impact tax and retirement strategy that CPAs and other advisors overlook</w:t>
            </w:r>
          </w:p>
          <w:p w:rsidRPr="001B1D32" w:rsidR="001B1D32" w:rsidP="001B1D32" w:rsidRDefault="001B1D32" w14:paraId="672DA9B6" w14:textId="77777777">
            <w:pPr>
              <w:pStyle w:val="ListParagraph"/>
              <w:numPr>
                <w:ilvl w:val="0"/>
                <w:numId w:val="5"/>
              </w:numPr>
              <w:ind w:left="422"/>
              <w:rPr>
                <w:sz w:val="20"/>
                <w:szCs w:val="20"/>
              </w:rPr>
            </w:pPr>
            <w:r w:rsidRPr="001B1D32">
              <w:rPr>
                <w:sz w:val="20"/>
                <w:szCs w:val="20"/>
              </w:rPr>
              <w:t>Position yourself to become the primary advisor—ahead of a potential liquidity event</w:t>
            </w:r>
          </w:p>
        </w:tc>
        <w:tc>
          <w:tcPr>
            <w:tcW w:w="3117" w:type="dxa"/>
            <w:shd w:val="clear" w:color="auto" w:fill="F2F2F2" w:themeFill="background1" w:themeFillShade="F2"/>
            <w:tcMar/>
          </w:tcPr>
          <w:p w:rsidRPr="001B1D32" w:rsidR="001B1D32" w:rsidP="00A6003A" w:rsidRDefault="001B1D32" w14:paraId="5DD4A822" w14:textId="77777777">
            <w:pPr>
              <w:rPr>
                <w:b/>
                <w:bCs/>
                <w:sz w:val="20"/>
                <w:szCs w:val="20"/>
              </w:rPr>
            </w:pPr>
            <w:r w:rsidRPr="001B1D32">
              <w:rPr>
                <w:b/>
                <w:bCs/>
                <w:sz w:val="20"/>
                <w:szCs w:val="20"/>
              </w:rPr>
              <w:t>WBSs</w:t>
            </w:r>
          </w:p>
          <w:p w:rsidRPr="001B1D32" w:rsidR="001B1D32" w:rsidP="001B1D32" w:rsidRDefault="001B1D32" w14:paraId="42430FFF" w14:textId="77777777">
            <w:pPr>
              <w:pStyle w:val="ListParagraph"/>
              <w:numPr>
                <w:ilvl w:val="0"/>
                <w:numId w:val="5"/>
              </w:numPr>
              <w:ind w:left="366"/>
              <w:rPr>
                <w:sz w:val="20"/>
                <w:szCs w:val="20"/>
              </w:rPr>
            </w:pPr>
            <w:r w:rsidRPr="001B1D32">
              <w:rPr>
                <w:sz w:val="20"/>
                <w:szCs w:val="20"/>
              </w:rPr>
              <w:t>Hit Merrill’s ambitious targets for cash-balance activity</w:t>
            </w:r>
          </w:p>
          <w:p w:rsidRPr="001B1D32" w:rsidR="001B1D32" w:rsidP="001B1D32" w:rsidRDefault="001B1D32" w14:paraId="21C975D7" w14:textId="77777777">
            <w:pPr>
              <w:pStyle w:val="ListParagraph"/>
              <w:numPr>
                <w:ilvl w:val="0"/>
                <w:numId w:val="5"/>
              </w:numPr>
              <w:ind w:left="366"/>
              <w:rPr>
                <w:sz w:val="20"/>
                <w:szCs w:val="20"/>
              </w:rPr>
            </w:pPr>
            <w:r w:rsidRPr="001B1D32">
              <w:rPr>
                <w:sz w:val="20"/>
                <w:szCs w:val="20"/>
              </w:rPr>
              <w:t>Bring strategic, unique ideas to your advisors</w:t>
            </w:r>
          </w:p>
          <w:p w:rsidRPr="001B1D32" w:rsidR="001B1D32" w:rsidP="001B1D32" w:rsidRDefault="001B1D32" w14:paraId="48BA8887" w14:textId="77777777">
            <w:pPr>
              <w:pStyle w:val="ListParagraph"/>
              <w:numPr>
                <w:ilvl w:val="0"/>
                <w:numId w:val="5"/>
              </w:numPr>
              <w:ind w:left="366"/>
              <w:rPr>
                <w:sz w:val="20"/>
                <w:szCs w:val="20"/>
              </w:rPr>
            </w:pPr>
            <w:r w:rsidRPr="001B1D32">
              <w:rPr>
                <w:sz w:val="20"/>
                <w:szCs w:val="20"/>
              </w:rPr>
              <w:t>Use the RVP as your go-to resource for all questions from advisors and clients throughout the sales, onboarding, and maintenance cycle</w:t>
            </w:r>
          </w:p>
          <w:p w:rsidRPr="001B1D32" w:rsidR="001B1D32" w:rsidP="001B1D32" w:rsidRDefault="001B1D32" w14:paraId="37149190" w14:textId="426F2226">
            <w:pPr>
              <w:pStyle w:val="ListParagraph"/>
              <w:numPr>
                <w:ilvl w:val="0"/>
                <w:numId w:val="5"/>
              </w:numPr>
              <w:ind w:left="366"/>
              <w:rPr>
                <w:sz w:val="20"/>
                <w:szCs w:val="20"/>
              </w:rPr>
            </w:pPr>
            <w:r w:rsidRPr="001B1D32">
              <w:rPr>
                <w:sz w:val="20"/>
                <w:szCs w:val="20"/>
              </w:rPr>
              <w:t>Free up time to support your advisors as they grow their practices</w:t>
            </w:r>
          </w:p>
        </w:tc>
        <w:tc>
          <w:tcPr>
            <w:tcW w:w="3117" w:type="dxa"/>
            <w:shd w:val="clear" w:color="auto" w:fill="F2F2F2" w:themeFill="background1" w:themeFillShade="F2"/>
            <w:tcMar/>
          </w:tcPr>
          <w:p w:rsidRPr="001B1D32" w:rsidR="001B1D32" w:rsidP="00A6003A" w:rsidRDefault="001B1D32" w14:paraId="2B211815" w14:textId="77777777">
            <w:pPr>
              <w:rPr>
                <w:b/>
                <w:bCs/>
                <w:sz w:val="20"/>
                <w:szCs w:val="20"/>
              </w:rPr>
            </w:pPr>
            <w:r w:rsidRPr="001B1D32">
              <w:rPr>
                <w:b/>
                <w:bCs/>
                <w:sz w:val="20"/>
                <w:szCs w:val="20"/>
              </w:rPr>
              <w:t>Business-owner clients</w:t>
            </w:r>
          </w:p>
          <w:p w:rsidRPr="001B1D32" w:rsidR="001B1D32" w:rsidP="001B1D32" w:rsidRDefault="001B1D32" w14:paraId="2FA59E25" w14:textId="77777777">
            <w:pPr>
              <w:pStyle w:val="ListParagraph"/>
              <w:numPr>
                <w:ilvl w:val="0"/>
                <w:numId w:val="5"/>
              </w:numPr>
              <w:ind w:left="400"/>
              <w:rPr>
                <w:sz w:val="20"/>
                <w:szCs w:val="20"/>
              </w:rPr>
            </w:pPr>
            <w:r w:rsidRPr="001B1D32">
              <w:rPr>
                <w:sz w:val="20"/>
                <w:szCs w:val="20"/>
              </w:rPr>
              <w:t>Accelerate your retirement savings by contributing significantly more to your retirement than a 401(k) plan alone</w:t>
            </w:r>
          </w:p>
          <w:p w:rsidRPr="001B1D32" w:rsidR="001B1D32" w:rsidP="001B1D32" w:rsidRDefault="001B1D32" w14:paraId="7FB0B3F9" w14:textId="77777777">
            <w:pPr>
              <w:pStyle w:val="ListParagraph"/>
              <w:numPr>
                <w:ilvl w:val="0"/>
                <w:numId w:val="5"/>
              </w:numPr>
              <w:ind w:left="400"/>
              <w:rPr>
                <w:sz w:val="20"/>
                <w:szCs w:val="20"/>
              </w:rPr>
            </w:pPr>
            <w:r w:rsidRPr="001B1D32">
              <w:rPr>
                <w:sz w:val="20"/>
                <w:szCs w:val="20"/>
              </w:rPr>
              <w:t>Reduce your tax bill while building long-term wealth</w:t>
            </w:r>
          </w:p>
          <w:p w:rsidRPr="001B1D32" w:rsidR="001B1D32" w:rsidP="001B1D32" w:rsidRDefault="001B1D32" w14:paraId="38F5630D" w14:textId="77777777">
            <w:pPr>
              <w:pStyle w:val="ListParagraph"/>
              <w:numPr>
                <w:ilvl w:val="0"/>
                <w:numId w:val="5"/>
              </w:numPr>
              <w:ind w:left="400"/>
              <w:rPr>
                <w:sz w:val="20"/>
                <w:szCs w:val="20"/>
              </w:rPr>
            </w:pPr>
            <w:r w:rsidRPr="001B1D32">
              <w:rPr>
                <w:sz w:val="20"/>
                <w:szCs w:val="20"/>
              </w:rPr>
              <w:t>Protect your assets from creditors</w:t>
            </w:r>
          </w:p>
          <w:p w:rsidRPr="001B1D32" w:rsidR="001B1D32" w:rsidP="001B1D32" w:rsidRDefault="001B1D32" w14:paraId="38E5AC7C" w14:textId="77777777">
            <w:pPr>
              <w:pStyle w:val="ListParagraph"/>
              <w:numPr>
                <w:ilvl w:val="0"/>
                <w:numId w:val="5"/>
              </w:numPr>
              <w:ind w:left="400"/>
              <w:rPr>
                <w:sz w:val="20"/>
                <w:szCs w:val="20"/>
              </w:rPr>
            </w:pPr>
            <w:r w:rsidRPr="001B1D32">
              <w:rPr>
                <w:sz w:val="20"/>
                <w:szCs w:val="20"/>
              </w:rPr>
              <w:t>Differentiate your employee retirement benefits</w:t>
            </w:r>
          </w:p>
          <w:p w:rsidRPr="001B1D32" w:rsidR="001B1D32" w:rsidP="001B1D32" w:rsidRDefault="001B1D32" w14:paraId="5E16E4D1" w14:textId="77777777">
            <w:pPr>
              <w:pStyle w:val="ListParagraph"/>
              <w:numPr>
                <w:ilvl w:val="0"/>
                <w:numId w:val="5"/>
              </w:numPr>
              <w:ind w:left="400"/>
              <w:rPr>
                <w:sz w:val="20"/>
                <w:szCs w:val="20"/>
              </w:rPr>
            </w:pPr>
            <w:r w:rsidRPr="001B1D32">
              <w:rPr>
                <w:sz w:val="20"/>
                <w:szCs w:val="20"/>
              </w:rPr>
              <w:t>Manage risk across your business</w:t>
            </w:r>
          </w:p>
        </w:tc>
      </w:tr>
    </w:tbl>
    <w:p w:rsidR="001B1D32" w:rsidP="001B1D32" w:rsidRDefault="001B1D32" w14:paraId="4614C99C" w14:textId="3C7DD4EF"/>
    <w:tbl>
      <w:tblPr>
        <w:tblStyle w:val="TableGrid"/>
        <w:tblW w:w="0" w:type="auto"/>
        <w:tblBorders>
          <w:top w:val="single" w:color="C3C3C3" w:themeColor="background2" w:sz="4" w:space="0"/>
          <w:left w:val="single" w:color="C3C3C3" w:themeColor="background2" w:sz="4" w:space="0"/>
          <w:bottom w:val="single" w:color="C3C3C3" w:themeColor="background2" w:sz="4" w:space="0"/>
          <w:right w:val="single" w:color="C3C3C3" w:themeColor="background2" w:sz="4" w:space="0"/>
          <w:insideH w:val="single" w:color="C3C3C3" w:themeColor="background2" w:sz="4" w:space="0"/>
          <w:insideV w:val="single" w:color="C3C3C3" w:themeColor="background2" w:sz="4" w:space="0"/>
        </w:tblBorders>
        <w:tblCellMar>
          <w:top w:w="115" w:type="dxa"/>
          <w:bottom w:w="115" w:type="dxa"/>
        </w:tblCellMar>
        <w:tblLook w:val="04A0" w:firstRow="1" w:lastRow="0" w:firstColumn="1" w:lastColumn="0" w:noHBand="0" w:noVBand="1"/>
      </w:tblPr>
      <w:tblGrid>
        <w:gridCol w:w="2637"/>
        <w:gridCol w:w="6713"/>
      </w:tblGrid>
      <w:tr w:rsidRPr="000676BF" w:rsidR="000676BF" w:rsidTr="42AF1BC7" w14:paraId="638D05CB" w14:textId="77777777">
        <w:tc>
          <w:tcPr>
            <w:tcW w:w="10070" w:type="dxa"/>
            <w:gridSpan w:val="2"/>
            <w:shd w:val="clear" w:color="auto" w:fill="00A88C" w:themeFill="accent1"/>
            <w:tcMar/>
          </w:tcPr>
          <w:p w:rsidRPr="000676BF" w:rsidR="001B1D32" w:rsidP="00A6003A" w:rsidRDefault="001B1D32" w14:paraId="26874236" w14:textId="77777777">
            <w:pPr>
              <w:rPr>
                <w:b/>
                <w:bCs/>
                <w:color w:val="FFFFFF" w:themeColor="background1"/>
                <w:sz w:val="20"/>
                <w:szCs w:val="20"/>
              </w:rPr>
            </w:pPr>
            <w:r w:rsidRPr="000676BF">
              <w:rPr>
                <w:b/>
                <w:bCs/>
                <w:color w:val="FFFFFF" w:themeColor="background1"/>
                <w:sz w:val="20"/>
                <w:szCs w:val="20"/>
                <w:shd w:val="clear" w:color="auto" w:fill="007D68" w:themeFill="accent1" w:themeFillShade="BF"/>
              </w:rPr>
              <w:t>Put</w:t>
            </w:r>
            <w:r w:rsidRPr="000676BF">
              <w:rPr>
                <w:b/>
                <w:bCs/>
                <w:color w:val="FFFFFF" w:themeColor="background1"/>
                <w:sz w:val="20"/>
                <w:szCs w:val="20"/>
              </w:rPr>
              <w:t xml:space="preserve"> these 6 best practices to work</w:t>
            </w:r>
          </w:p>
          <w:p w:rsidRPr="000676BF" w:rsidR="001B1D32" w:rsidP="00A6003A" w:rsidRDefault="001B1D32" w14:paraId="2E03D19B" w14:textId="77777777">
            <w:pPr>
              <w:rPr>
                <w:color w:val="FFFFFF" w:themeColor="background1"/>
                <w:sz w:val="20"/>
                <w:szCs w:val="20"/>
              </w:rPr>
            </w:pPr>
            <w:proofErr w:type="spellStart"/>
            <w:r w:rsidRPr="000676BF">
              <w:rPr>
                <w:color w:val="FFFFFF" w:themeColor="background1"/>
                <w:sz w:val="20"/>
                <w:szCs w:val="20"/>
              </w:rPr>
              <w:t>FuturePlan’s</w:t>
            </w:r>
            <w:proofErr w:type="spellEnd"/>
            <w:r w:rsidRPr="000676BF">
              <w:rPr>
                <w:color w:val="FFFFFF" w:themeColor="background1"/>
                <w:sz w:val="20"/>
                <w:szCs w:val="20"/>
              </w:rPr>
              <w:t xml:space="preserve"> most successful RVPs have seen the following tactics drive interest in cash balance plans with their Merrill relationships.</w:t>
            </w:r>
          </w:p>
        </w:tc>
      </w:tr>
      <w:tr w:rsidRPr="001B1D32" w:rsidR="001B1D32" w:rsidTr="42AF1BC7" w14:paraId="77A15DE9" w14:textId="77777777">
        <w:tc>
          <w:tcPr>
            <w:tcW w:w="2785" w:type="dxa"/>
            <w:shd w:val="clear" w:color="auto" w:fill="595959" w:themeFill="text1" w:themeFillTint="A6"/>
            <w:tcMar/>
          </w:tcPr>
          <w:p w:rsidRPr="005431E9" w:rsidR="001B1D32" w:rsidP="00A6003A" w:rsidRDefault="001B1D32" w14:paraId="34241876" w14:textId="77777777">
            <w:pPr>
              <w:rPr>
                <w:b/>
                <w:bCs/>
                <w:color w:val="FFFFFF" w:themeColor="background1"/>
                <w:sz w:val="20"/>
                <w:szCs w:val="20"/>
              </w:rPr>
            </w:pPr>
            <w:r w:rsidRPr="005431E9">
              <w:rPr>
                <w:b/>
                <w:bCs/>
                <w:color w:val="FFFFFF" w:themeColor="background1"/>
                <w:sz w:val="20"/>
                <w:szCs w:val="20"/>
              </w:rPr>
              <w:t>Show them the money</w:t>
            </w:r>
          </w:p>
        </w:tc>
        <w:tc>
          <w:tcPr>
            <w:tcW w:w="7285" w:type="dxa"/>
            <w:shd w:val="clear" w:color="auto" w:fill="F2F2F2" w:themeFill="background1" w:themeFillShade="F2"/>
            <w:tcMar/>
          </w:tcPr>
          <w:p w:rsidRPr="001B1D32" w:rsidR="001B1D32" w:rsidP="00A6003A" w:rsidRDefault="001B1D32" w14:paraId="67CB26EE" w14:textId="77777777">
            <w:pPr>
              <w:rPr>
                <w:sz w:val="20"/>
                <w:szCs w:val="20"/>
              </w:rPr>
            </w:pPr>
            <w:r w:rsidRPr="001B1D32">
              <w:rPr>
                <w:sz w:val="20"/>
                <w:szCs w:val="20"/>
              </w:rPr>
              <w:t>Send case studies of how other Merrill advisors have used cash balance plans to transform their practices or set up meetings to walk advisors through existing or customized illustrations. Seeing the magnitude of the inflows drives home the impact these plans have on advisors’ practices.</w:t>
            </w:r>
          </w:p>
        </w:tc>
      </w:tr>
      <w:tr w:rsidRPr="001B1D32" w:rsidR="001B1D32" w:rsidTr="42AF1BC7" w14:paraId="254E6E68" w14:textId="77777777">
        <w:tc>
          <w:tcPr>
            <w:tcW w:w="2785" w:type="dxa"/>
            <w:shd w:val="clear" w:color="auto" w:fill="595959" w:themeFill="text1" w:themeFillTint="A6"/>
            <w:tcMar/>
          </w:tcPr>
          <w:p w:rsidRPr="005431E9" w:rsidR="001B1D32" w:rsidP="00A6003A" w:rsidRDefault="001B1D32" w14:paraId="049CB19A" w14:textId="77777777">
            <w:pPr>
              <w:rPr>
                <w:b/>
                <w:bCs/>
                <w:color w:val="FFFFFF" w:themeColor="background1"/>
                <w:sz w:val="20"/>
                <w:szCs w:val="20"/>
              </w:rPr>
            </w:pPr>
            <w:r w:rsidRPr="005431E9">
              <w:rPr>
                <w:b/>
                <w:bCs/>
                <w:color w:val="FFFFFF" w:themeColor="background1"/>
                <w:sz w:val="20"/>
                <w:szCs w:val="20"/>
              </w:rPr>
              <w:t>Show up in person</w:t>
            </w:r>
          </w:p>
        </w:tc>
        <w:tc>
          <w:tcPr>
            <w:tcW w:w="7285" w:type="dxa"/>
            <w:shd w:val="clear" w:color="auto" w:fill="F2F2F2" w:themeFill="background1" w:themeFillShade="F2"/>
            <w:tcMar/>
          </w:tcPr>
          <w:p w:rsidRPr="001B1D32" w:rsidR="001B1D32" w:rsidP="00A6003A" w:rsidRDefault="001B1D32" w14:paraId="0A562176" w14:textId="77777777">
            <w:pPr>
              <w:rPr>
                <w:sz w:val="20"/>
                <w:szCs w:val="20"/>
              </w:rPr>
            </w:pPr>
            <w:r w:rsidRPr="001B1D32">
              <w:rPr>
                <w:sz w:val="20"/>
                <w:szCs w:val="20"/>
              </w:rPr>
              <w:t xml:space="preserve">Visiting Merrill offices in person, whether to informally walk the halls or host a 30-minute presentation, is an effective way to tell the cash balance story to many advisors. Come equipped with Merrill-approved content and copies of </w:t>
            </w:r>
            <w:r w:rsidRPr="001B1D32">
              <w:rPr>
                <w:i/>
                <w:iCs/>
                <w:sz w:val="20"/>
                <w:szCs w:val="20"/>
              </w:rPr>
              <w:t xml:space="preserve">Beyond the 401(k), </w:t>
            </w:r>
            <w:r w:rsidRPr="001B1D32">
              <w:rPr>
                <w:sz w:val="20"/>
                <w:szCs w:val="20"/>
              </w:rPr>
              <w:t xml:space="preserve">the book by </w:t>
            </w:r>
            <w:proofErr w:type="spellStart"/>
            <w:r w:rsidRPr="001B1D32">
              <w:rPr>
                <w:sz w:val="20"/>
                <w:szCs w:val="20"/>
              </w:rPr>
              <w:t>FuturePlan’s</w:t>
            </w:r>
            <w:proofErr w:type="spellEnd"/>
            <w:r w:rsidRPr="001B1D32">
              <w:rPr>
                <w:sz w:val="20"/>
                <w:szCs w:val="20"/>
              </w:rPr>
              <w:t xml:space="preserve"> Ken </w:t>
            </w:r>
            <w:proofErr w:type="spellStart"/>
            <w:r w:rsidRPr="001B1D32">
              <w:rPr>
                <w:sz w:val="20"/>
                <w:szCs w:val="20"/>
              </w:rPr>
              <w:t>Guidroz</w:t>
            </w:r>
            <w:proofErr w:type="spellEnd"/>
            <w:r w:rsidRPr="001B1D32">
              <w:rPr>
                <w:sz w:val="20"/>
                <w:szCs w:val="20"/>
              </w:rPr>
              <w:t>.</w:t>
            </w:r>
          </w:p>
        </w:tc>
      </w:tr>
      <w:tr w:rsidRPr="001B1D32" w:rsidR="001B1D32" w:rsidTr="42AF1BC7" w14:paraId="17A4D114" w14:textId="77777777">
        <w:tc>
          <w:tcPr>
            <w:tcW w:w="2785" w:type="dxa"/>
            <w:shd w:val="clear" w:color="auto" w:fill="595959" w:themeFill="text1" w:themeFillTint="A6"/>
            <w:tcMar/>
          </w:tcPr>
          <w:p w:rsidRPr="005431E9" w:rsidR="001B1D32" w:rsidP="00A6003A" w:rsidRDefault="001B1D32" w14:paraId="4CEE4AA5" w14:textId="77777777">
            <w:pPr>
              <w:rPr>
                <w:b/>
                <w:bCs/>
                <w:color w:val="FFFFFF" w:themeColor="background1"/>
                <w:sz w:val="20"/>
                <w:szCs w:val="20"/>
              </w:rPr>
            </w:pPr>
            <w:r w:rsidRPr="005431E9">
              <w:rPr>
                <w:b/>
                <w:bCs/>
                <w:color w:val="FFFFFF" w:themeColor="background1"/>
                <w:sz w:val="20"/>
                <w:szCs w:val="20"/>
              </w:rPr>
              <w:t>Capitalize on tax deductions</w:t>
            </w:r>
          </w:p>
        </w:tc>
        <w:tc>
          <w:tcPr>
            <w:tcW w:w="7285" w:type="dxa"/>
            <w:shd w:val="clear" w:color="auto" w:fill="F2F2F2" w:themeFill="background1" w:themeFillShade="F2"/>
            <w:tcMar/>
          </w:tcPr>
          <w:p w:rsidRPr="001B1D32" w:rsidR="001B1D32" w:rsidP="00A6003A" w:rsidRDefault="001B1D32" w14:paraId="6CB284FD" w14:textId="77777777">
            <w:pPr>
              <w:rPr>
                <w:sz w:val="20"/>
                <w:szCs w:val="20"/>
              </w:rPr>
            </w:pPr>
            <w:r w:rsidRPr="001B1D32">
              <w:rPr>
                <w:sz w:val="20"/>
                <w:szCs w:val="20"/>
              </w:rPr>
              <w:t>November through February is a great time to reach out to advisors because this is when their clients who own businesses are thinking about year-end tax planning or getting ready to file their tax returns. As long as a cash balance plan is created before the owner files the tax return, contributions are deductible for that tax year.</w:t>
            </w:r>
          </w:p>
        </w:tc>
      </w:tr>
      <w:tr w:rsidRPr="001B1D32" w:rsidR="001B1D32" w:rsidTr="42AF1BC7" w14:paraId="383B20C7" w14:textId="77777777">
        <w:tc>
          <w:tcPr>
            <w:tcW w:w="2785" w:type="dxa"/>
            <w:shd w:val="clear" w:color="auto" w:fill="595959" w:themeFill="text1" w:themeFillTint="A6"/>
            <w:tcMar/>
          </w:tcPr>
          <w:p w:rsidRPr="005431E9" w:rsidR="001B1D32" w:rsidP="00A6003A" w:rsidRDefault="001B1D32" w14:paraId="28F5A6C9" w14:textId="77777777">
            <w:pPr>
              <w:rPr>
                <w:b/>
                <w:bCs/>
                <w:color w:val="FFFFFF" w:themeColor="background1"/>
                <w:sz w:val="20"/>
                <w:szCs w:val="20"/>
              </w:rPr>
            </w:pPr>
            <w:r w:rsidRPr="005431E9">
              <w:rPr>
                <w:b/>
                <w:bCs/>
                <w:color w:val="FFFFFF" w:themeColor="background1"/>
                <w:sz w:val="20"/>
                <w:szCs w:val="20"/>
              </w:rPr>
              <w:t>Stay top of mind</w:t>
            </w:r>
          </w:p>
        </w:tc>
        <w:tc>
          <w:tcPr>
            <w:tcW w:w="7285" w:type="dxa"/>
            <w:shd w:val="clear" w:color="auto" w:fill="F2F2F2" w:themeFill="background1" w:themeFillShade="F2"/>
            <w:tcMar/>
          </w:tcPr>
          <w:p w:rsidRPr="001B1D32" w:rsidR="001B1D32" w:rsidP="00A6003A" w:rsidRDefault="001B1D32" w14:paraId="730C4189" w14:textId="77777777">
            <w:pPr>
              <w:rPr>
                <w:sz w:val="20"/>
                <w:szCs w:val="20"/>
              </w:rPr>
            </w:pPr>
            <w:r w:rsidRPr="001B1D32">
              <w:rPr>
                <w:sz w:val="20"/>
                <w:szCs w:val="20"/>
              </w:rPr>
              <w:t>If advisors or WBSs don’t respond to your first or second messages, don’t give up. Keep sending different content about cash balance plans to stay on their radars. Immediately after meetings or presentations, send a prompt follow-up about next steps to keep the momentum going.</w:t>
            </w:r>
          </w:p>
        </w:tc>
      </w:tr>
      <w:tr w:rsidRPr="001B1D32" w:rsidR="001B1D32" w:rsidTr="42AF1BC7" w14:paraId="7F075AFF" w14:textId="77777777">
        <w:tc>
          <w:tcPr>
            <w:tcW w:w="2785" w:type="dxa"/>
            <w:shd w:val="clear" w:color="auto" w:fill="595959" w:themeFill="text1" w:themeFillTint="A6"/>
            <w:tcMar/>
          </w:tcPr>
          <w:p w:rsidRPr="005431E9" w:rsidR="001B1D32" w:rsidP="00A6003A" w:rsidRDefault="001B1D32" w14:paraId="4F653D72" w14:textId="77777777">
            <w:pPr>
              <w:rPr>
                <w:b/>
                <w:bCs/>
                <w:color w:val="FFFFFF" w:themeColor="background1"/>
                <w:sz w:val="20"/>
                <w:szCs w:val="20"/>
              </w:rPr>
            </w:pPr>
            <w:r w:rsidRPr="005431E9">
              <w:rPr>
                <w:b/>
                <w:bCs/>
                <w:color w:val="FFFFFF" w:themeColor="background1"/>
                <w:sz w:val="20"/>
                <w:szCs w:val="20"/>
              </w:rPr>
              <w:t>Get your foot in the door by partnering</w:t>
            </w:r>
          </w:p>
        </w:tc>
        <w:tc>
          <w:tcPr>
            <w:tcW w:w="7285" w:type="dxa"/>
            <w:shd w:val="clear" w:color="auto" w:fill="F2F2F2" w:themeFill="background1" w:themeFillShade="F2"/>
            <w:tcMar/>
          </w:tcPr>
          <w:p w:rsidRPr="001B1D32" w:rsidR="001B1D32" w:rsidP="00A6003A" w:rsidRDefault="001B1D32" w14:paraId="79F31F5E" w14:textId="77777777">
            <w:pPr>
              <w:rPr>
                <w:sz w:val="20"/>
                <w:szCs w:val="20"/>
              </w:rPr>
            </w:pPr>
            <w:r w:rsidRPr="001B1D32">
              <w:rPr>
                <w:sz w:val="20"/>
                <w:szCs w:val="20"/>
              </w:rPr>
              <w:t>If you’re having trouble connecting with WBSs, leverage the relationships recordkeepers and asset managers may have with these centers of influence. Ask these partners if they are interested in co-hosting a joint presentation for Merrill that covers retirement trends, including cash balance plans.</w:t>
            </w:r>
          </w:p>
        </w:tc>
      </w:tr>
      <w:tr w:rsidRPr="001B1D32" w:rsidR="001B1D32" w:rsidTr="42AF1BC7" w14:paraId="23267895" w14:textId="77777777">
        <w:tc>
          <w:tcPr>
            <w:tcW w:w="2785" w:type="dxa"/>
            <w:shd w:val="clear" w:color="auto" w:fill="595959" w:themeFill="text1" w:themeFillTint="A6"/>
            <w:tcMar/>
          </w:tcPr>
          <w:p w:rsidRPr="005431E9" w:rsidR="001B1D32" w:rsidP="00A6003A" w:rsidRDefault="001B1D32" w14:paraId="583AE099" w14:textId="77777777">
            <w:pPr>
              <w:rPr>
                <w:b/>
                <w:bCs/>
                <w:color w:val="FFFFFF" w:themeColor="background1"/>
                <w:sz w:val="20"/>
                <w:szCs w:val="20"/>
              </w:rPr>
            </w:pPr>
            <w:r w:rsidRPr="005431E9">
              <w:rPr>
                <w:b/>
                <w:bCs/>
                <w:color w:val="FFFFFF" w:themeColor="background1"/>
                <w:sz w:val="20"/>
                <w:szCs w:val="20"/>
              </w:rPr>
              <w:t>Identify the best candidates</w:t>
            </w:r>
          </w:p>
        </w:tc>
        <w:tc>
          <w:tcPr>
            <w:tcW w:w="7285" w:type="dxa"/>
            <w:shd w:val="clear" w:color="auto" w:fill="F2F2F2" w:themeFill="background1" w:themeFillShade="F2"/>
            <w:tcMar/>
          </w:tcPr>
          <w:p w:rsidRPr="001B1D32" w:rsidR="001B1D32" w:rsidP="00A6003A" w:rsidRDefault="001B1D32" w14:paraId="65C72013" w14:textId="77777777">
            <w:pPr>
              <w:rPr>
                <w:sz w:val="20"/>
                <w:szCs w:val="20"/>
              </w:rPr>
            </w:pPr>
            <w:r w:rsidRPr="00560078">
              <w:rPr>
                <w:sz w:val="20"/>
                <w:szCs w:val="20"/>
              </w:rPr>
              <w:t xml:space="preserve">Work with WBS’s and advisors to go through their existing lists of clients or prospects to identify people who are the best candidates for cash balance plans. By leveraging the </w:t>
            </w:r>
            <w:hyperlink w:history="1" w:anchor="3716" r:id="rId8">
              <w:r w:rsidRPr="00560078">
                <w:rPr>
                  <w:rStyle w:val="Hyperlink"/>
                  <w:b/>
                  <w:bCs/>
                  <w:sz w:val="20"/>
                  <w:szCs w:val="20"/>
                </w:rPr>
                <w:t>Merrill’s Book 360</w:t>
              </w:r>
            </w:hyperlink>
            <w:r w:rsidRPr="00560078">
              <w:rPr>
                <w:sz w:val="20"/>
                <w:szCs w:val="20"/>
              </w:rPr>
              <w:t xml:space="preserve"> they can help to identify key prospects for your outreach.</w:t>
            </w:r>
            <w:r w:rsidRPr="001B1D32">
              <w:rPr>
                <w:sz w:val="20"/>
                <w:szCs w:val="20"/>
              </w:rPr>
              <w:t xml:space="preserve"> Then, create customized illustrations for those ideal candidates and walk the advisor and clients through what the numbers mean for them. </w:t>
            </w:r>
          </w:p>
        </w:tc>
      </w:tr>
    </w:tbl>
    <w:p w:rsidR="001B1D32" w:rsidP="001B1D32" w:rsidRDefault="001B1D32" w14:paraId="15ECB363" w14:textId="77777777"/>
    <w:p w:rsidR="00807A68" w:rsidP="001B1D32" w:rsidRDefault="00807A68" w14:paraId="6386921E" w14:textId="77777777"/>
    <w:p w:rsidR="00807A68" w:rsidP="001B1D32" w:rsidRDefault="00807A68" w14:paraId="725A22EA" w14:textId="77777777"/>
    <w:p w:rsidR="00807A68" w:rsidP="001B1D32" w:rsidRDefault="00807A68" w14:paraId="4B6C3C5A" w14:textId="77777777"/>
    <w:p w:rsidR="00807A68" w:rsidP="001B1D32" w:rsidRDefault="00807A68" w14:paraId="42C5FC09" w14:textId="77777777"/>
    <w:p w:rsidR="00807A68" w:rsidP="001B1D32" w:rsidRDefault="00807A68" w14:paraId="24ACA4FB" w14:textId="77777777"/>
    <w:p w:rsidR="00807A68" w:rsidP="001B1D32" w:rsidRDefault="00807A68" w14:paraId="1107D7E8" w14:textId="77777777"/>
    <w:p w:rsidR="00807A68" w:rsidP="001B1D32" w:rsidRDefault="00807A68" w14:paraId="19148CBB" w14:textId="77777777"/>
    <w:p w:rsidR="00807A68" w:rsidP="001B1D32" w:rsidRDefault="00807A68" w14:paraId="53C1FB7D" w14:textId="77777777"/>
    <w:p w:rsidR="00807A68" w:rsidP="001B1D32" w:rsidRDefault="00807A68" w14:paraId="67417AC7" w14:textId="77777777"/>
    <w:p w:rsidR="00807A68" w:rsidP="001B1D32" w:rsidRDefault="00807A68" w14:paraId="4232C661" w14:textId="77777777"/>
    <w:p w:rsidR="00807A68" w:rsidP="001B1D32" w:rsidRDefault="00807A68" w14:paraId="370AA38E" w14:textId="77777777"/>
    <w:p w:rsidR="00807A68" w:rsidP="001B1D32" w:rsidRDefault="00807A68" w14:paraId="36875A5B" w14:textId="77777777"/>
    <w:p w:rsidR="00807A68" w:rsidP="001B1D32" w:rsidRDefault="00807A68" w14:paraId="4564056F" w14:textId="77777777"/>
    <w:tbl>
      <w:tblPr>
        <w:tblStyle w:val="TableGrid"/>
        <w:tblW w:w="0" w:type="auto"/>
        <w:tblBorders>
          <w:top w:val="single" w:color="C3C3C3" w:themeColor="background2" w:sz="4" w:space="0"/>
          <w:left w:val="single" w:color="C3C3C3" w:themeColor="background2" w:sz="4" w:space="0"/>
          <w:bottom w:val="single" w:color="C3C3C3" w:themeColor="background2" w:sz="4" w:space="0"/>
          <w:right w:val="single" w:color="C3C3C3" w:themeColor="background2" w:sz="4" w:space="0"/>
          <w:insideH w:val="single" w:color="C3C3C3" w:themeColor="background2" w:sz="4" w:space="0"/>
          <w:insideV w:val="single" w:color="C3C3C3" w:themeColor="background2" w:sz="4" w:space="0"/>
        </w:tblBorders>
        <w:tblCellMar>
          <w:top w:w="115" w:type="dxa"/>
          <w:bottom w:w="115" w:type="dxa"/>
        </w:tblCellMar>
        <w:tblLook w:val="04A0" w:firstRow="1" w:lastRow="0" w:firstColumn="1" w:lastColumn="0" w:noHBand="0" w:noVBand="1"/>
      </w:tblPr>
      <w:tblGrid>
        <w:gridCol w:w="3114"/>
        <w:gridCol w:w="3124"/>
        <w:gridCol w:w="3112"/>
      </w:tblGrid>
      <w:tr w:rsidRPr="001B1D32" w:rsidR="001B1D32" w:rsidTr="42AF1BC7" w14:paraId="12B57FB6" w14:textId="77777777">
        <w:tc>
          <w:tcPr>
            <w:tcW w:w="9350" w:type="dxa"/>
            <w:gridSpan w:val="3"/>
            <w:shd w:val="clear" w:color="auto" w:fill="00A88C" w:themeFill="accent1"/>
            <w:tcMar/>
          </w:tcPr>
          <w:p w:rsidRPr="000676BF" w:rsidR="001B1D32" w:rsidP="00A6003A" w:rsidRDefault="001B1D32" w14:paraId="34AAACD7" w14:textId="77777777">
            <w:pPr>
              <w:rPr>
                <w:b/>
                <w:bCs/>
                <w:color w:val="FFFFFF" w:themeColor="background1"/>
                <w:sz w:val="20"/>
                <w:szCs w:val="20"/>
              </w:rPr>
            </w:pPr>
            <w:r w:rsidRPr="000676BF">
              <w:rPr>
                <w:b/>
                <w:bCs/>
                <w:color w:val="FFFFFF" w:themeColor="background1"/>
                <w:sz w:val="20"/>
                <w:szCs w:val="20"/>
              </w:rPr>
              <w:lastRenderedPageBreak/>
              <w:t>Know the numbers</w:t>
            </w:r>
          </w:p>
        </w:tc>
      </w:tr>
      <w:tr w:rsidRPr="001B1D32" w:rsidR="001B1D32" w:rsidTr="42AF1BC7" w14:paraId="6E89B728" w14:textId="77777777">
        <w:tc>
          <w:tcPr>
            <w:tcW w:w="3114" w:type="dxa"/>
            <w:shd w:val="clear" w:color="auto" w:fill="595959" w:themeFill="text1" w:themeFillTint="A6"/>
            <w:tcMar/>
            <w:vAlign w:val="center"/>
          </w:tcPr>
          <w:p w:rsidRPr="001B1D32" w:rsidR="001B1D32" w:rsidP="00560078" w:rsidRDefault="001B1D32" w14:paraId="57F12728" w14:textId="77777777" w14:noSpellErr="1">
            <w:pPr>
              <w:rPr>
                <w:b w:val="1"/>
                <w:bCs w:val="1"/>
                <w:color w:val="FFFFFF" w:themeColor="background1"/>
                <w:sz w:val="36"/>
                <w:szCs w:val="36"/>
              </w:rPr>
            </w:pPr>
            <w:r w:rsidRPr="001B1D32">
              <w:rPr>
                <w:b w:val="1"/>
                <w:bCs w:val="1"/>
                <w:color w:val="FFFFFF" w:themeColor="background1"/>
                <w:sz w:val="36"/>
                <w:szCs w:val="36"/>
              </w:rPr>
              <w:t>4.1</w:t>
            </w:r>
            <w:r w:rsidRPr="42AF1BC7">
              <w:rPr>
                <w:rStyle w:val="EndnoteReference"/>
                <w:b w:val="1"/>
                <w:bCs w:val="1"/>
                <w:color w:val="FFFFFF" w:themeColor="background1"/>
                <w:sz w:val="28"/>
                <w:szCs w:val="28"/>
              </w:rPr>
              <w:endnoteReference w:id="1"/>
            </w:r>
          </w:p>
        </w:tc>
        <w:tc>
          <w:tcPr>
            <w:tcW w:w="3124" w:type="dxa"/>
            <w:shd w:val="clear" w:color="auto" w:fill="595959" w:themeFill="text1" w:themeFillTint="A6"/>
            <w:tcMar/>
            <w:vAlign w:val="center"/>
          </w:tcPr>
          <w:p w:rsidRPr="001B1D32" w:rsidR="001B1D32" w:rsidP="00560078" w:rsidRDefault="001B1D32" w14:paraId="597812A8" w14:textId="77777777" w14:noSpellErr="1">
            <w:pPr>
              <w:rPr>
                <w:b w:val="1"/>
                <w:bCs w:val="1"/>
                <w:color w:val="FFFFFF" w:themeColor="background1"/>
                <w:sz w:val="36"/>
                <w:szCs w:val="36"/>
              </w:rPr>
            </w:pPr>
            <w:r w:rsidRPr="001B1D32">
              <w:rPr>
                <w:b w:val="1"/>
                <w:bCs w:val="1"/>
                <w:color w:val="FFFFFF" w:themeColor="background1"/>
                <w:sz w:val="36"/>
                <w:szCs w:val="36"/>
              </w:rPr>
              <w:t>2x</w:t>
            </w:r>
            <w:r w:rsidRPr="42AF1BC7">
              <w:rPr>
                <w:rStyle w:val="EndnoteReference"/>
                <w:b w:val="1"/>
                <w:bCs w:val="1"/>
                <w:color w:val="FFFFFF" w:themeColor="background1"/>
                <w:sz w:val="28"/>
                <w:szCs w:val="28"/>
              </w:rPr>
              <w:endnoteReference w:id="2"/>
            </w:r>
          </w:p>
        </w:tc>
        <w:tc>
          <w:tcPr>
            <w:tcW w:w="3112" w:type="dxa"/>
            <w:shd w:val="clear" w:color="auto" w:fill="595959" w:themeFill="text1" w:themeFillTint="A6"/>
            <w:tcMar/>
            <w:vAlign w:val="center"/>
          </w:tcPr>
          <w:p w:rsidRPr="001B1D32" w:rsidR="001B1D32" w:rsidP="00560078" w:rsidRDefault="001B1D32" w14:paraId="6E708ACC" w14:textId="77777777" w14:noSpellErr="1">
            <w:pPr>
              <w:rPr>
                <w:b w:val="1"/>
                <w:bCs w:val="1"/>
                <w:color w:val="FFFFFF" w:themeColor="background1"/>
                <w:sz w:val="36"/>
                <w:szCs w:val="36"/>
              </w:rPr>
            </w:pPr>
            <w:r w:rsidRPr="001B1D32">
              <w:rPr>
                <w:b w:val="1"/>
                <w:bCs w:val="1"/>
                <w:color w:val="FFFFFF" w:themeColor="background1"/>
                <w:sz w:val="36"/>
                <w:szCs w:val="36"/>
              </w:rPr>
              <w:t>5+ years</w:t>
            </w:r>
            <w:r w:rsidRPr="42AF1BC7">
              <w:rPr>
                <w:rStyle w:val="EndnoteReference"/>
                <w:b w:val="1"/>
                <w:bCs w:val="1"/>
                <w:color w:val="FFFFFF" w:themeColor="background1"/>
                <w:sz w:val="28"/>
                <w:szCs w:val="28"/>
              </w:rPr>
              <w:endnoteReference w:id="3"/>
            </w:r>
          </w:p>
        </w:tc>
      </w:tr>
      <w:tr w:rsidRPr="001B1D32" w:rsidR="001B1D32" w:rsidTr="42AF1BC7" w14:paraId="39EA685C" w14:textId="77777777">
        <w:tc>
          <w:tcPr>
            <w:tcW w:w="3114" w:type="dxa"/>
            <w:shd w:val="clear" w:color="auto" w:fill="F2F2F2" w:themeFill="background1" w:themeFillShade="F2"/>
            <w:tcMar/>
          </w:tcPr>
          <w:p w:rsidRPr="001B1D32" w:rsidR="001B1D32" w:rsidP="00A6003A" w:rsidRDefault="001B1D32" w14:paraId="34446DE5" w14:textId="77777777">
            <w:pPr>
              <w:rPr>
                <w:sz w:val="20"/>
                <w:szCs w:val="20"/>
              </w:rPr>
            </w:pPr>
            <w:r w:rsidRPr="001B1D32">
              <w:rPr>
                <w:sz w:val="20"/>
                <w:szCs w:val="20"/>
              </w:rPr>
              <w:t>Number of advisors millionaires work with, on average</w:t>
            </w:r>
          </w:p>
          <w:p w:rsidRPr="001B1D32" w:rsidR="001B1D32" w:rsidP="00A6003A" w:rsidRDefault="001B1D32" w14:paraId="4038C77A" w14:textId="77777777">
            <w:pPr>
              <w:rPr>
                <w:sz w:val="20"/>
                <w:szCs w:val="20"/>
              </w:rPr>
            </w:pPr>
          </w:p>
          <w:p w:rsidRPr="001B1D32" w:rsidR="001B1D32" w:rsidP="00A6003A" w:rsidRDefault="001B1D32" w14:paraId="5D4972A1" w14:textId="77777777">
            <w:pPr>
              <w:rPr>
                <w:sz w:val="20"/>
                <w:szCs w:val="20"/>
              </w:rPr>
            </w:pPr>
            <w:r w:rsidRPr="001B1D32">
              <w:rPr>
                <w:b/>
                <w:bCs/>
                <w:sz w:val="20"/>
                <w:szCs w:val="20"/>
              </w:rPr>
              <w:t xml:space="preserve">Why it matters: </w:t>
            </w:r>
            <w:r w:rsidRPr="001B1D32">
              <w:rPr>
                <w:sz w:val="20"/>
                <w:szCs w:val="20"/>
              </w:rPr>
              <w:t xml:space="preserve">Creates an opportunity for Merrill advisors to become the primary wealth manager by offering differentiated strategies, such as cash balance plans </w:t>
            </w:r>
          </w:p>
        </w:tc>
        <w:tc>
          <w:tcPr>
            <w:tcW w:w="3124" w:type="dxa"/>
            <w:shd w:val="clear" w:color="auto" w:fill="F2F2F2" w:themeFill="background1" w:themeFillShade="F2"/>
            <w:tcMar/>
          </w:tcPr>
          <w:p w:rsidRPr="001B1D32" w:rsidR="001B1D32" w:rsidP="00A6003A" w:rsidRDefault="001B1D32" w14:paraId="65BF6620" w14:textId="77777777">
            <w:pPr>
              <w:rPr>
                <w:sz w:val="20"/>
                <w:szCs w:val="20"/>
              </w:rPr>
            </w:pPr>
            <w:r w:rsidRPr="001B1D32">
              <w:rPr>
                <w:sz w:val="20"/>
                <w:szCs w:val="20"/>
              </w:rPr>
              <w:t>Rate at which the number of cash balance plans is growing relative to 401(k) plans</w:t>
            </w:r>
          </w:p>
          <w:p w:rsidRPr="001B1D32" w:rsidR="001B1D32" w:rsidP="00A6003A" w:rsidRDefault="001B1D32" w14:paraId="7ABDB915" w14:textId="77777777">
            <w:pPr>
              <w:rPr>
                <w:sz w:val="20"/>
                <w:szCs w:val="20"/>
              </w:rPr>
            </w:pPr>
          </w:p>
          <w:p w:rsidRPr="001B1D32" w:rsidR="001B1D32" w:rsidP="00A6003A" w:rsidRDefault="001B1D32" w14:paraId="5B724434" w14:textId="77777777">
            <w:pPr>
              <w:rPr>
                <w:sz w:val="20"/>
                <w:szCs w:val="20"/>
              </w:rPr>
            </w:pPr>
            <w:r w:rsidRPr="001B1D32">
              <w:rPr>
                <w:b/>
                <w:bCs/>
                <w:sz w:val="20"/>
                <w:szCs w:val="20"/>
              </w:rPr>
              <w:t xml:space="preserve">Why it matters: </w:t>
            </w:r>
            <w:r w:rsidRPr="001B1D32">
              <w:rPr>
                <w:sz w:val="20"/>
                <w:szCs w:val="20"/>
              </w:rPr>
              <w:t>Highlights the growing recognition of the attractiveness of cash balance plans and reinforces the need for WBSs to have a trusted resource for these complex plans</w:t>
            </w:r>
          </w:p>
        </w:tc>
        <w:tc>
          <w:tcPr>
            <w:tcW w:w="3112" w:type="dxa"/>
            <w:shd w:val="clear" w:color="auto" w:fill="F2F2F2" w:themeFill="background1" w:themeFillShade="F2"/>
            <w:tcMar/>
          </w:tcPr>
          <w:p w:rsidRPr="001B1D32" w:rsidR="001B1D32" w:rsidP="00A6003A" w:rsidRDefault="001B1D32" w14:paraId="49AF562F" w14:textId="77777777">
            <w:pPr>
              <w:rPr>
                <w:sz w:val="20"/>
                <w:szCs w:val="20"/>
              </w:rPr>
            </w:pPr>
            <w:r w:rsidRPr="001B1D32">
              <w:rPr>
                <w:sz w:val="20"/>
                <w:szCs w:val="20"/>
              </w:rPr>
              <w:t>Number of years business owners must maintain a cash balance plan</w:t>
            </w:r>
          </w:p>
          <w:p w:rsidRPr="001B1D32" w:rsidR="001B1D32" w:rsidP="00A6003A" w:rsidRDefault="001B1D32" w14:paraId="668A1400" w14:textId="77777777">
            <w:pPr>
              <w:rPr>
                <w:sz w:val="20"/>
                <w:szCs w:val="20"/>
              </w:rPr>
            </w:pPr>
          </w:p>
          <w:p w:rsidRPr="001B1D32" w:rsidR="001B1D32" w:rsidP="00A6003A" w:rsidRDefault="001B1D32" w14:paraId="5A2E366A" w14:textId="77777777">
            <w:pPr>
              <w:rPr>
                <w:sz w:val="20"/>
                <w:szCs w:val="20"/>
              </w:rPr>
            </w:pPr>
            <w:r w:rsidRPr="001B1D32">
              <w:rPr>
                <w:b/>
                <w:bCs/>
                <w:sz w:val="20"/>
                <w:szCs w:val="20"/>
              </w:rPr>
              <w:t xml:space="preserve">Why it matters: </w:t>
            </w:r>
            <w:r w:rsidRPr="001B1D32">
              <w:rPr>
                <w:sz w:val="20"/>
                <w:szCs w:val="20"/>
              </w:rPr>
              <w:t>Shows the opportunity for advisors to generate recurring asset inflows from business owners and potentially family members who work at the company</w:t>
            </w:r>
          </w:p>
        </w:tc>
      </w:tr>
    </w:tbl>
    <w:p w:rsidR="005431E9" w:rsidP="42AF1BC7" w:rsidRDefault="005431E9" w14:paraId="6EB25002" w14:noSpellErr="1" w14:textId="561EECFC">
      <w:pPr>
        <w:pStyle w:val="Normal"/>
      </w:pPr>
    </w:p>
    <w:p w:rsidR="005431E9" w:rsidP="001B1D32" w:rsidRDefault="005431E9" w14:paraId="2791A5E2" w14:textId="77777777"/>
    <w:tbl>
      <w:tblPr>
        <w:tblStyle w:val="TableGrid"/>
        <w:tblW w:w="9376" w:type="dxa"/>
        <w:tblBorders>
          <w:top w:val="single" w:color="C3C3C3" w:themeColor="background2" w:sz="4" w:space="0"/>
          <w:left w:val="single" w:color="C3C3C3" w:themeColor="background2" w:sz="4" w:space="0"/>
          <w:bottom w:val="single" w:color="C3C3C3" w:themeColor="background2" w:sz="4" w:space="0"/>
          <w:right w:val="single" w:color="C3C3C3" w:themeColor="background2" w:sz="4" w:space="0"/>
          <w:insideH w:val="single" w:color="C3C3C3" w:themeColor="background2" w:sz="4" w:space="0"/>
          <w:insideV w:val="single" w:color="C3C3C3" w:themeColor="background2" w:sz="4" w:space="0"/>
        </w:tblBorders>
        <w:tblCellMar>
          <w:top w:w="72" w:type="dxa"/>
          <w:left w:w="72" w:type="dxa"/>
          <w:bottom w:w="72" w:type="dxa"/>
        </w:tblCellMar>
        <w:tblLook w:val="04A0" w:firstRow="1" w:lastRow="0" w:firstColumn="1" w:lastColumn="0" w:noHBand="0" w:noVBand="1"/>
      </w:tblPr>
      <w:tblGrid>
        <w:gridCol w:w="9376"/>
      </w:tblGrid>
      <w:tr w:rsidR="000676BF" w:rsidTr="42AF1BC7" w14:paraId="3699E909" w14:textId="77777777">
        <w:trPr>
          <w:trHeight w:val="268"/>
        </w:trPr>
        <w:tc>
          <w:tcPr>
            <w:tcW w:w="9376" w:type="dxa"/>
            <w:shd w:val="clear" w:color="auto" w:fill="00A88C" w:themeFill="accent1"/>
            <w:tcMar/>
          </w:tcPr>
          <w:p w:rsidRPr="000676BF" w:rsidR="000676BF" w:rsidP="00A6003A" w:rsidRDefault="000676BF" w14:paraId="7F8BF098" w14:textId="37CA769B">
            <w:pPr>
              <w:rPr>
                <w:b/>
                <w:bCs/>
                <w:color w:val="FFFFFF" w:themeColor="background1"/>
                <w:sz w:val="20"/>
                <w:szCs w:val="20"/>
              </w:rPr>
            </w:pPr>
            <w:r w:rsidRPr="000676BF">
              <w:rPr>
                <w:b/>
                <w:bCs/>
                <w:color w:val="FFFFFF" w:themeColor="background1"/>
                <w:sz w:val="20"/>
                <w:szCs w:val="20"/>
              </w:rPr>
              <w:t>Use the Q1 Merrill campaigns-in-box and other Merrill-approved resources</w:t>
            </w:r>
          </w:p>
        </w:tc>
      </w:tr>
      <w:tr w:rsidR="001B1D32" w:rsidTr="42AF1BC7" w14:paraId="79DBD4E6" w14:textId="77777777">
        <w:trPr>
          <w:trHeight w:val="768"/>
        </w:trPr>
        <w:tc>
          <w:tcPr>
            <w:tcW w:w="9376" w:type="dxa"/>
            <w:shd w:val="clear" w:color="auto" w:fill="F2F2F2" w:themeFill="background1" w:themeFillShade="F2"/>
            <w:tcMar/>
          </w:tcPr>
          <w:p w:rsidRPr="000676BF" w:rsidR="001B1D32" w:rsidP="00A6003A" w:rsidRDefault="001B1D32" w14:paraId="5A1F325C" w14:textId="7D8DDF3E">
            <w:pPr>
              <w:rPr>
                <w:sz w:val="20"/>
                <w:szCs w:val="20"/>
              </w:rPr>
            </w:pPr>
            <w:r w:rsidRPr="42AF1BC7" w:rsidR="42AF1BC7">
              <w:rPr>
                <w:sz w:val="20"/>
                <w:szCs w:val="20"/>
              </w:rPr>
              <w:t>FuturePlan’s</w:t>
            </w:r>
            <w:r w:rsidRPr="42AF1BC7" w:rsidR="42AF1BC7">
              <w:rPr>
                <w:sz w:val="20"/>
                <w:szCs w:val="20"/>
              </w:rPr>
              <w:t xml:space="preserve"> marketing team has created Q1-2025 email sequences</w:t>
            </w:r>
            <w:r w:rsidRPr="42AF1BC7" w:rsidR="42AF1BC7">
              <w:rPr>
                <w:color w:val="000000" w:themeColor="text1" w:themeTint="FF" w:themeShade="FF"/>
                <w:sz w:val="20"/>
                <w:szCs w:val="20"/>
              </w:rPr>
              <w:t xml:space="preserve">, </w:t>
            </w:r>
            <w:r w:rsidRPr="42AF1BC7" w:rsidR="42AF1BC7">
              <w:rPr>
                <w:sz w:val="20"/>
                <w:szCs w:val="20"/>
              </w:rPr>
              <w:t xml:space="preserve">talking scripts, social media posts, and other resources RVPs can use to connect with Merrill advisors and WBSs. </w:t>
            </w:r>
            <w:hyperlink w:anchor="campaigns-at-a-glance" r:id="R66fad1cef755435e">
              <w:r w:rsidRPr="42AF1BC7" w:rsidR="42AF1BC7">
                <w:rPr>
                  <w:rStyle w:val="Hyperlink"/>
                  <w:b w:val="1"/>
                  <w:bCs w:val="1"/>
                  <w:sz w:val="20"/>
                  <w:szCs w:val="20"/>
                </w:rPr>
                <w:t>Check it out.</w:t>
              </w:r>
            </w:hyperlink>
            <w:r w:rsidRPr="42AF1BC7" w:rsidR="42AF1BC7">
              <w:rPr>
                <w:sz w:val="20"/>
                <w:szCs w:val="20"/>
              </w:rPr>
              <w:t xml:space="preserve"> </w:t>
            </w:r>
          </w:p>
        </w:tc>
      </w:tr>
    </w:tbl>
    <w:p w:rsidRPr="00416E25" w:rsidR="001B1D32" w:rsidP="001B1D32" w:rsidRDefault="001B1D32" w14:paraId="018387D3" w14:textId="77777777"/>
    <w:p w:rsidRPr="00E43EC2" w:rsidR="00144305" w:rsidP="00257EEC" w:rsidRDefault="00144305" w14:paraId="0E6F6D4B" w14:textId="77777777">
      <w:pPr>
        <w:spacing w:line="276" w:lineRule="auto"/>
        <w:ind w:right="720"/>
        <w:rPr>
          <w:rFonts w:ascii="Arial" w:hAnsi="Arial" w:cs="Arial"/>
          <w:iCs/>
          <w:color w:val="595959"/>
          <w:sz w:val="16"/>
          <w:szCs w:val="16"/>
        </w:rPr>
      </w:pPr>
    </w:p>
    <w:p w:rsidR="00855003" w:rsidP="00257EEC" w:rsidRDefault="00855003" w14:paraId="2D43995E" w14:textId="77777777">
      <w:pPr>
        <w:spacing w:line="276" w:lineRule="auto"/>
        <w:ind w:right="720"/>
        <w:rPr>
          <w:rFonts w:ascii="Arial" w:hAnsi="Arial" w:cs="Arial"/>
          <w:iCs/>
          <w:color w:val="595959"/>
          <w:sz w:val="16"/>
          <w:szCs w:val="16"/>
        </w:rPr>
      </w:pPr>
    </w:p>
    <w:p w:rsidR="000676BF" w:rsidP="00257EEC" w:rsidRDefault="000676BF" w14:paraId="4B597987" w14:textId="77777777">
      <w:pPr>
        <w:spacing w:line="276" w:lineRule="auto"/>
        <w:ind w:right="720"/>
        <w:rPr>
          <w:rFonts w:ascii="Arial" w:hAnsi="Arial" w:cs="Arial"/>
          <w:iCs/>
          <w:color w:val="595959"/>
          <w:sz w:val="16"/>
          <w:szCs w:val="16"/>
        </w:rPr>
      </w:pPr>
    </w:p>
    <w:p w:rsidR="000676BF" w:rsidP="00257EEC" w:rsidRDefault="000676BF" w14:paraId="199651C9" w14:textId="77777777">
      <w:pPr>
        <w:spacing w:line="276" w:lineRule="auto"/>
        <w:ind w:right="720"/>
        <w:rPr>
          <w:rFonts w:ascii="Arial" w:hAnsi="Arial" w:cs="Arial"/>
          <w:iCs/>
          <w:color w:val="595959"/>
          <w:sz w:val="16"/>
          <w:szCs w:val="16"/>
        </w:rPr>
      </w:pPr>
    </w:p>
    <w:p w:rsidR="000676BF" w:rsidP="00257EEC" w:rsidRDefault="000676BF" w14:paraId="54426198" w14:textId="77777777">
      <w:pPr>
        <w:spacing w:line="276" w:lineRule="auto"/>
        <w:ind w:right="720"/>
        <w:rPr>
          <w:rFonts w:ascii="Arial" w:hAnsi="Arial" w:cs="Arial"/>
          <w:iCs/>
          <w:color w:val="595959"/>
          <w:sz w:val="16"/>
          <w:szCs w:val="16"/>
        </w:rPr>
      </w:pPr>
    </w:p>
    <w:p w:rsidR="000676BF" w:rsidP="00257EEC" w:rsidRDefault="000676BF" w14:paraId="496B1994" w14:textId="77777777">
      <w:pPr>
        <w:spacing w:line="276" w:lineRule="auto"/>
        <w:ind w:right="720"/>
        <w:rPr>
          <w:rFonts w:ascii="Arial" w:hAnsi="Arial" w:cs="Arial"/>
          <w:iCs/>
          <w:color w:val="595959"/>
          <w:sz w:val="16"/>
          <w:szCs w:val="16"/>
        </w:rPr>
      </w:pPr>
    </w:p>
    <w:p w:rsidR="000676BF" w:rsidP="00257EEC" w:rsidRDefault="000676BF" w14:paraId="079E560B" w14:textId="77777777">
      <w:pPr>
        <w:spacing w:line="276" w:lineRule="auto"/>
        <w:ind w:right="720"/>
        <w:rPr>
          <w:rFonts w:ascii="Arial" w:hAnsi="Arial" w:cs="Arial"/>
          <w:iCs/>
          <w:color w:val="595959"/>
          <w:sz w:val="16"/>
          <w:szCs w:val="16"/>
        </w:rPr>
      </w:pPr>
    </w:p>
    <w:p w:rsidR="000676BF" w:rsidP="00257EEC" w:rsidRDefault="000676BF" w14:paraId="1D8595AC" w14:textId="77777777">
      <w:pPr>
        <w:spacing w:line="276" w:lineRule="auto"/>
        <w:ind w:right="720"/>
        <w:rPr>
          <w:rFonts w:ascii="Arial" w:hAnsi="Arial" w:cs="Arial"/>
          <w:iCs/>
          <w:color w:val="595959"/>
          <w:sz w:val="16"/>
          <w:szCs w:val="16"/>
        </w:rPr>
      </w:pPr>
    </w:p>
    <w:p w:rsidR="000676BF" w:rsidP="00257EEC" w:rsidRDefault="000676BF" w14:paraId="277D3019" w14:textId="77777777">
      <w:pPr>
        <w:spacing w:line="276" w:lineRule="auto"/>
        <w:ind w:right="720"/>
        <w:rPr>
          <w:rFonts w:ascii="Arial" w:hAnsi="Arial" w:cs="Arial"/>
          <w:iCs/>
          <w:color w:val="595959"/>
          <w:sz w:val="16"/>
          <w:szCs w:val="16"/>
        </w:rPr>
      </w:pPr>
    </w:p>
    <w:p w:rsidR="000676BF" w:rsidP="00257EEC" w:rsidRDefault="000676BF" w14:paraId="24067CF8" w14:textId="77777777">
      <w:pPr>
        <w:spacing w:line="276" w:lineRule="auto"/>
        <w:ind w:right="720"/>
        <w:rPr>
          <w:rFonts w:ascii="Arial" w:hAnsi="Arial" w:cs="Arial"/>
          <w:iCs/>
          <w:color w:val="595959"/>
          <w:sz w:val="16"/>
          <w:szCs w:val="16"/>
        </w:rPr>
      </w:pPr>
    </w:p>
    <w:p w:rsidR="000676BF" w:rsidP="00257EEC" w:rsidRDefault="000676BF" w14:paraId="7D2F4F7D" w14:textId="77777777">
      <w:pPr>
        <w:spacing w:line="276" w:lineRule="auto"/>
        <w:ind w:right="720"/>
        <w:rPr>
          <w:rFonts w:ascii="Arial" w:hAnsi="Arial" w:cs="Arial"/>
          <w:iCs/>
          <w:color w:val="595959"/>
          <w:sz w:val="16"/>
          <w:szCs w:val="16"/>
        </w:rPr>
      </w:pPr>
    </w:p>
    <w:p w:rsidR="000676BF" w:rsidP="00257EEC" w:rsidRDefault="000676BF" w14:paraId="517B4A83" w14:textId="77777777">
      <w:pPr>
        <w:spacing w:line="276" w:lineRule="auto"/>
        <w:ind w:right="720"/>
        <w:rPr>
          <w:rFonts w:ascii="Arial" w:hAnsi="Arial" w:cs="Arial"/>
          <w:iCs/>
          <w:color w:val="595959"/>
          <w:sz w:val="16"/>
          <w:szCs w:val="16"/>
        </w:rPr>
      </w:pPr>
    </w:p>
    <w:p w:rsidR="000676BF" w:rsidP="00257EEC" w:rsidRDefault="000676BF" w14:paraId="7E16B111" w14:textId="77777777">
      <w:pPr>
        <w:spacing w:line="276" w:lineRule="auto"/>
        <w:ind w:right="720"/>
        <w:rPr>
          <w:rFonts w:ascii="Arial" w:hAnsi="Arial" w:cs="Arial"/>
          <w:iCs/>
          <w:color w:val="595959"/>
          <w:sz w:val="16"/>
          <w:szCs w:val="16"/>
        </w:rPr>
      </w:pPr>
    </w:p>
    <w:p w:rsidR="000676BF" w:rsidP="00257EEC" w:rsidRDefault="000676BF" w14:paraId="10268E66" w14:textId="77777777">
      <w:pPr>
        <w:spacing w:line="276" w:lineRule="auto"/>
        <w:ind w:right="720"/>
        <w:rPr>
          <w:rFonts w:ascii="Arial" w:hAnsi="Arial" w:cs="Arial"/>
          <w:iCs/>
          <w:color w:val="595959"/>
          <w:sz w:val="16"/>
          <w:szCs w:val="16"/>
        </w:rPr>
      </w:pPr>
    </w:p>
    <w:p w:rsidR="000676BF" w:rsidP="00257EEC" w:rsidRDefault="000676BF" w14:paraId="34590B5D" w14:textId="77777777">
      <w:pPr>
        <w:spacing w:line="276" w:lineRule="auto"/>
        <w:ind w:right="720"/>
        <w:rPr>
          <w:rFonts w:ascii="Arial" w:hAnsi="Arial" w:cs="Arial"/>
          <w:iCs/>
          <w:color w:val="595959"/>
          <w:sz w:val="16"/>
          <w:szCs w:val="16"/>
        </w:rPr>
      </w:pPr>
    </w:p>
    <w:p w:rsidR="000676BF" w:rsidP="00257EEC" w:rsidRDefault="000676BF" w14:paraId="758E4408" w14:textId="77777777">
      <w:pPr>
        <w:spacing w:line="276" w:lineRule="auto"/>
        <w:ind w:right="720"/>
        <w:rPr>
          <w:rFonts w:ascii="Arial" w:hAnsi="Arial" w:cs="Arial"/>
          <w:iCs/>
          <w:color w:val="595959"/>
          <w:sz w:val="16"/>
          <w:szCs w:val="16"/>
        </w:rPr>
      </w:pPr>
    </w:p>
    <w:p w:rsidR="000676BF" w:rsidP="00257EEC" w:rsidRDefault="000676BF" w14:paraId="1C064B19" w14:textId="77777777">
      <w:pPr>
        <w:spacing w:line="276" w:lineRule="auto"/>
        <w:ind w:right="720"/>
        <w:rPr>
          <w:rFonts w:ascii="Arial" w:hAnsi="Arial" w:cs="Arial"/>
          <w:iCs/>
          <w:color w:val="595959"/>
          <w:sz w:val="16"/>
          <w:szCs w:val="16"/>
        </w:rPr>
      </w:pPr>
    </w:p>
    <w:p w:rsidR="000676BF" w:rsidP="00257EEC" w:rsidRDefault="000676BF" w14:paraId="7B9F94E5" w14:textId="77777777">
      <w:pPr>
        <w:spacing w:line="276" w:lineRule="auto"/>
        <w:ind w:right="720"/>
        <w:rPr>
          <w:rFonts w:ascii="Arial" w:hAnsi="Arial" w:cs="Arial"/>
          <w:iCs/>
          <w:color w:val="595959"/>
          <w:sz w:val="16"/>
          <w:szCs w:val="16"/>
        </w:rPr>
      </w:pPr>
    </w:p>
    <w:p w:rsidR="000676BF" w:rsidP="00257EEC" w:rsidRDefault="000676BF" w14:paraId="4D185E7E" w14:textId="77777777">
      <w:pPr>
        <w:spacing w:line="276" w:lineRule="auto"/>
        <w:ind w:right="720"/>
        <w:rPr>
          <w:rFonts w:ascii="Arial" w:hAnsi="Arial" w:cs="Arial"/>
          <w:iCs/>
          <w:color w:val="595959"/>
          <w:sz w:val="16"/>
          <w:szCs w:val="16"/>
        </w:rPr>
      </w:pPr>
    </w:p>
    <w:p w:rsidR="000676BF" w:rsidP="00257EEC" w:rsidRDefault="000676BF" w14:paraId="512C0A45" w14:textId="77777777">
      <w:pPr>
        <w:spacing w:line="276" w:lineRule="auto"/>
        <w:ind w:right="720"/>
        <w:rPr>
          <w:rFonts w:ascii="Arial" w:hAnsi="Arial" w:cs="Arial"/>
          <w:iCs/>
          <w:color w:val="595959"/>
          <w:sz w:val="16"/>
          <w:szCs w:val="16"/>
        </w:rPr>
      </w:pPr>
    </w:p>
    <w:p w:rsidR="00807A68" w:rsidP="00257EEC" w:rsidRDefault="00807A68" w14:paraId="643ED7D2" w14:textId="77777777">
      <w:pPr>
        <w:spacing w:line="276" w:lineRule="auto"/>
        <w:ind w:right="720"/>
        <w:rPr>
          <w:rFonts w:ascii="Arial" w:hAnsi="Arial" w:cs="Arial"/>
          <w:iCs/>
          <w:color w:val="595959"/>
          <w:sz w:val="16"/>
          <w:szCs w:val="16"/>
        </w:rPr>
      </w:pPr>
    </w:p>
    <w:p w:rsidR="24C76BCB" w:rsidP="24C76BCB" w:rsidRDefault="24C76BCB" w14:paraId="72C85D29" w14:textId="75C25F4A">
      <w:pPr>
        <w:pStyle w:val="Normal"/>
        <w:suppressLineNumbers w:val="0"/>
        <w:bidi w:val="0"/>
        <w:spacing w:before="0" w:beforeAutospacing="off" w:after="0" w:afterAutospacing="off" w:line="276" w:lineRule="auto"/>
        <w:ind w:left="0" w:right="720"/>
        <w:jc w:val="left"/>
        <w:rPr>
          <w:b w:val="1"/>
          <w:bCs w:val="1"/>
          <w:sz w:val="20"/>
          <w:szCs w:val="20"/>
        </w:rPr>
      </w:pPr>
    </w:p>
    <w:p w:rsidR="24C76BCB" w:rsidP="24C76BCB" w:rsidRDefault="24C76BCB" w14:paraId="6B95D3B8" w14:textId="5229EB01">
      <w:pPr>
        <w:pStyle w:val="Normal"/>
        <w:suppressLineNumbers w:val="0"/>
        <w:bidi w:val="0"/>
        <w:spacing w:before="0" w:beforeAutospacing="off" w:after="0" w:afterAutospacing="off" w:line="276" w:lineRule="auto"/>
        <w:ind w:left="0" w:right="720"/>
        <w:jc w:val="left"/>
        <w:rPr>
          <w:b w:val="1"/>
          <w:bCs w:val="1"/>
          <w:sz w:val="20"/>
          <w:szCs w:val="20"/>
        </w:rPr>
      </w:pPr>
    </w:p>
    <w:p w:rsidR="24C76BCB" w:rsidP="24C76BCB" w:rsidRDefault="24C76BCB" w14:paraId="43898047" w14:textId="6FB25D2C">
      <w:pPr>
        <w:pStyle w:val="Normal"/>
        <w:suppressLineNumbers w:val="0"/>
        <w:bidi w:val="0"/>
        <w:spacing w:before="0" w:beforeAutospacing="off" w:after="0" w:afterAutospacing="off" w:line="276" w:lineRule="auto"/>
        <w:ind w:left="0" w:right="720"/>
        <w:jc w:val="left"/>
        <w:rPr>
          <w:b w:val="1"/>
          <w:bCs w:val="1"/>
          <w:sz w:val="20"/>
          <w:szCs w:val="20"/>
        </w:rPr>
      </w:pPr>
      <w:r w:rsidRPr="24C76BCB" w:rsidR="24C76BCB">
        <w:rPr>
          <w:b w:val="1"/>
          <w:bCs w:val="1"/>
          <w:sz w:val="20"/>
          <w:szCs w:val="20"/>
        </w:rPr>
        <w:t>FOR INTERNAL USE ONLY</w:t>
      </w:r>
    </w:p>
    <w:sectPr w:rsidRPr="00E43EC2" w:rsidR="000676BF" w:rsidSect="001B1D32">
      <w:headerReference w:type="default" r:id="rId9"/>
      <w:footerReference w:type="even" r:id="rId10"/>
      <w:footerReference w:type="default" r:id="rId11"/>
      <w:headerReference w:type="first" r:id="rId12"/>
      <w:footerReference w:type="first" r:id="rId13"/>
      <w:pgSz w:w="12240" w:h="15840" w:orient="portrait"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2A8F" w:rsidP="00B12016" w:rsidRDefault="00172A8F" w14:paraId="1217D30D" w14:textId="77777777">
      <w:r>
        <w:separator/>
      </w:r>
    </w:p>
  </w:endnote>
  <w:endnote w:type="continuationSeparator" w:id="0">
    <w:p w:rsidR="00172A8F" w:rsidP="00B12016" w:rsidRDefault="00172A8F" w14:paraId="5704927D" w14:textId="77777777">
      <w:r>
        <w:continuationSeparator/>
      </w:r>
    </w:p>
  </w:endnote>
  <w:endnote w:id="1">
    <w:p w:rsidRPr="000676BF" w:rsidR="001B1D32" w:rsidP="001B1D32" w:rsidRDefault="001B1D32" w14:paraId="2DFE5E54" w14:textId="77777777">
      <w:pPr>
        <w:pStyle w:val="EndnoteText"/>
        <w:rPr>
          <w:rFonts w:cstheme="minorHAnsi"/>
          <w:sz w:val="18"/>
          <w:szCs w:val="18"/>
        </w:rPr>
      </w:pPr>
      <w:r w:rsidRPr="000676BF">
        <w:rPr>
          <w:rStyle w:val="EndnoteReference"/>
          <w:rFonts w:cstheme="minorHAnsi"/>
          <w:sz w:val="18"/>
          <w:szCs w:val="18"/>
        </w:rPr>
        <w:endnoteRef/>
      </w:r>
      <w:r w:rsidRPr="000676BF">
        <w:rPr>
          <w:rFonts w:cstheme="minorHAnsi"/>
          <w:sz w:val="18"/>
          <w:szCs w:val="18"/>
        </w:rPr>
        <w:t xml:space="preserve"> </w:t>
      </w:r>
      <w:r w:rsidRPr="000676BF">
        <w:rPr>
          <w:rFonts w:cstheme="minorHAnsi"/>
          <w:color w:val="000000"/>
          <w:kern w:val="0"/>
          <w:sz w:val="18"/>
          <w:szCs w:val="18"/>
        </w:rPr>
        <w:t>Source to come</w:t>
      </w:r>
    </w:p>
  </w:endnote>
  <w:endnote w:id="2">
    <w:p w:rsidRPr="000676BF" w:rsidR="001B1D32" w:rsidP="001B1D32" w:rsidRDefault="001B1D32" w14:paraId="12758A98" w14:textId="77777777">
      <w:pPr>
        <w:pStyle w:val="EndnoteText"/>
        <w:rPr>
          <w:rFonts w:cstheme="minorHAnsi"/>
          <w:sz w:val="18"/>
          <w:szCs w:val="18"/>
        </w:rPr>
      </w:pPr>
      <w:r w:rsidRPr="000676BF">
        <w:rPr>
          <w:rStyle w:val="EndnoteReference"/>
          <w:rFonts w:cstheme="minorHAnsi"/>
          <w:sz w:val="18"/>
          <w:szCs w:val="18"/>
        </w:rPr>
        <w:endnoteRef/>
      </w:r>
      <w:r w:rsidRPr="000676BF">
        <w:rPr>
          <w:rFonts w:cstheme="minorHAnsi"/>
          <w:sz w:val="18"/>
          <w:szCs w:val="18"/>
        </w:rPr>
        <w:t xml:space="preserve"> </w:t>
      </w:r>
      <w:proofErr w:type="spellStart"/>
      <w:r w:rsidRPr="000676BF">
        <w:rPr>
          <w:rFonts w:cstheme="minorHAnsi"/>
          <w:color w:val="000000"/>
          <w:kern w:val="0"/>
          <w:sz w:val="18"/>
          <w:szCs w:val="18"/>
        </w:rPr>
        <w:t>FuturePlan</w:t>
      </w:r>
      <w:proofErr w:type="spellEnd"/>
      <w:r w:rsidRPr="000676BF">
        <w:rPr>
          <w:rFonts w:cstheme="minorHAnsi"/>
          <w:color w:val="000000"/>
          <w:kern w:val="0"/>
          <w:sz w:val="18"/>
          <w:szCs w:val="18"/>
        </w:rPr>
        <w:t xml:space="preserve"> Center of Excellence, National Cash Balance Research Report, March 2023.</w:t>
      </w:r>
    </w:p>
  </w:endnote>
  <w:endnote w:id="3">
    <w:p w:rsidRPr="000676BF" w:rsidR="000676BF" w:rsidP="001B1D32" w:rsidRDefault="001B1D32" w14:paraId="2DB125BE" w14:textId="3D3072BD">
      <w:pPr>
        <w:pStyle w:val="EndnoteText"/>
        <w:rPr>
          <w:rFonts w:cstheme="minorHAnsi"/>
          <w:sz w:val="18"/>
          <w:szCs w:val="18"/>
        </w:rPr>
      </w:pPr>
      <w:r w:rsidRPr="000676BF">
        <w:rPr>
          <w:rStyle w:val="EndnoteReference"/>
          <w:rFonts w:cstheme="minorHAnsi"/>
          <w:sz w:val="18"/>
          <w:szCs w:val="18"/>
        </w:rPr>
        <w:endnoteRef/>
      </w:r>
      <w:r w:rsidRPr="000676BF">
        <w:rPr>
          <w:rFonts w:cstheme="minorHAnsi"/>
          <w:sz w:val="18"/>
          <w:szCs w:val="18"/>
        </w:rPr>
        <w:t xml:space="preserve"> Bank of America, The Advisor Playbook: A Cash Balance Sales Guide.</w:t>
      </w:r>
    </w:p>
    <w:p w:rsidRPr="000676BF" w:rsidR="000676BF" w:rsidP="001B1D32" w:rsidRDefault="000676BF" w14:paraId="5C1A859B" w14:textId="77777777">
      <w:pPr>
        <w:pStyle w:val="EndnoteText"/>
        <w:rPr>
          <w:rFonts w:cstheme="minorHAnsi"/>
          <w:sz w:val="16"/>
          <w:szCs w:val="16"/>
        </w:rPr>
      </w:pPr>
    </w:p>
    <w:p w:rsidRPr="000676BF" w:rsidR="000676BF" w:rsidP="000676BF" w:rsidRDefault="000676BF" w14:paraId="7B8F94B5" w14:textId="0FF18CEB">
      <w:pPr>
        <w:pStyle w:val="EndnoteText"/>
        <w:rPr>
          <w:sz w:val="18"/>
          <w:szCs w:val="18"/>
        </w:rPr>
      </w:pPr>
      <w:proofErr w:type="spellStart"/>
      <w:r w:rsidRPr="000676BF">
        <w:rPr>
          <w:sz w:val="18"/>
          <w:szCs w:val="18"/>
        </w:rPr>
        <w:t>FuturePlan</w:t>
      </w:r>
      <w:proofErr w:type="spellEnd"/>
      <w:r w:rsidRPr="000676BF">
        <w:rPr>
          <w:sz w:val="18"/>
          <w:szCs w:val="18"/>
        </w:rPr>
        <w:t xml:space="preserve"> by Ascensus provides plan design, administration, and compliance services. It is not a broker-dealer or an investor advisor and does not provide tax, legal, or accounting services.  ©2025. Ascensus, LLC. All Rights Reserved. (0</w:t>
      </w:r>
      <w:r w:rsidR="00560078">
        <w:rPr>
          <w:sz w:val="18"/>
          <w:szCs w:val="18"/>
        </w:rPr>
        <w:t>2</w:t>
      </w:r>
      <w:r w:rsidRPr="000676BF">
        <w:rPr>
          <w:sz w:val="18"/>
          <w:szCs w:val="18"/>
        </w:rPr>
        <w:t>/2025)</w:t>
      </w:r>
    </w:p>
    <w:p w:rsidRPr="000676BF" w:rsidR="000676BF" w:rsidP="001B1D32" w:rsidRDefault="000676BF" w14:paraId="74BB84B8" w14:textId="77777777">
      <w:pPr>
        <w:pStyle w:val="EndnoteTex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65133909"/>
      <w:docPartObj>
        <w:docPartGallery w:val="Page Numbers (Bottom of Page)"/>
        <w:docPartUnique/>
      </w:docPartObj>
    </w:sdtPr>
    <w:sdtContent>
      <w:p w:rsidR="00CA419C" w:rsidP="00130337" w:rsidRDefault="00CA419C" w14:paraId="31B15DA2" w14:textId="52800649">
        <w:pP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866FA" w:rsidP="00CA419C" w:rsidRDefault="007866FA" w14:paraId="0FABEDDE" w14:textId="77777777">
    <w:pPr>
      <w:ind w:right="360"/>
    </w:pPr>
  </w:p>
  <w:p w:rsidR="00CF4C4A" w:rsidRDefault="00520834" w14:paraId="51D11A0A" w14:textId="77777777">
    <w:pPr>
      <w:jc w:val="right"/>
      <w:textAlignment w:val="bottom"/>
    </w:pPr>
    <w:r>
      <w:rPr>
        <w:rFonts w:ascii="Helvetica" w:hAnsi="Helvetica" w:eastAsia="Helvetica" w:cs="Helvetica"/>
        <w:sz w:val="16"/>
      </w:rPr>
      <w:t>20230213-2726306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CF4C4A" w:rsidP="000676BF" w:rsidRDefault="00C25D5D" w14:paraId="228310C5" w14:textId="070DEDD6">
    <w:r>
      <w:rPr>
        <w:noProof/>
      </w:rPr>
      <mc:AlternateContent>
        <mc:Choice Requires="wps">
          <w:drawing>
            <wp:anchor distT="0" distB="0" distL="114300" distR="114300" simplePos="0" relativeHeight="251663360" behindDoc="0" locked="0" layoutInCell="1" allowOverlap="1" wp14:anchorId="3C69DD3F" wp14:editId="5B471882">
              <wp:simplePos x="0" y="0"/>
              <wp:positionH relativeFrom="column">
                <wp:posOffset>-914400</wp:posOffset>
              </wp:positionH>
              <wp:positionV relativeFrom="paragraph">
                <wp:posOffset>493160</wp:posOffset>
              </wp:positionV>
              <wp:extent cx="7772400" cy="146304"/>
              <wp:effectExtent l="0" t="0" r="0" b="6350"/>
              <wp:wrapNone/>
              <wp:docPr id="1033149887" name="Rectangle 1033149887"/>
              <wp:cNvGraphicFramePr/>
              <a:graphic xmlns:a="http://schemas.openxmlformats.org/drawingml/2006/main">
                <a:graphicData uri="http://schemas.microsoft.com/office/word/2010/wordprocessingShape">
                  <wps:wsp>
                    <wps:cNvSpPr/>
                    <wps:spPr>
                      <a:xfrm>
                        <a:off x="0" y="0"/>
                        <a:ext cx="7772400" cy="146304"/>
                      </a:xfrm>
                      <a:prstGeom prst="rect">
                        <a:avLst/>
                      </a:prstGeom>
                      <a:gradFill>
                        <a:gsLst>
                          <a:gs pos="0">
                            <a:srgbClr val="00B095"/>
                          </a:gs>
                          <a:gs pos="41000">
                            <a:srgbClr val="00B095"/>
                          </a:gs>
                          <a:gs pos="100000">
                            <a:srgbClr val="05A2C6"/>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33149887" style="position:absolute;margin-left:-1in;margin-top:38.85pt;width:612pt;height:1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b095" stroked="f" strokeweight="1pt" w14:anchorId="0F052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">
              <v:fill type="gradient" color2="#05a2c6" colors="0 #00b095;26870f #00b095;1 #05a2c6" angle="90" focus="100%">
                <o:fill v:ext="view" type="gradientUnscaled"/>
              </v:fill>
            </v:rect>
          </w:pict>
        </mc:Fallback>
      </mc:AlternateContent>
    </w:r>
    <w:r w:rsidRPr="00593B41" w:rsidR="000676BF">
      <w:rPr>
        <w:rFonts w:ascii="Arial" w:hAnsi="Arial" w:cs="Arial"/>
        <w:noProof/>
        <w:color w:val="595959"/>
        <w:sz w:val="17"/>
        <w:szCs w:val="17"/>
      </w:rPr>
      <mc:AlternateContent>
        <mc:Choice Requires="wps">
          <w:drawing>
            <wp:anchor distT="0" distB="0" distL="114300" distR="114300" simplePos="0" relativeHeight="251661312" behindDoc="0" locked="0" layoutInCell="1" allowOverlap="1" wp14:anchorId="0AF69851" wp14:editId="3B6B91CF">
              <wp:simplePos x="0" y="0"/>
              <wp:positionH relativeFrom="column">
                <wp:posOffset>-913765</wp:posOffset>
              </wp:positionH>
              <wp:positionV relativeFrom="paragraph">
                <wp:posOffset>702803</wp:posOffset>
              </wp:positionV>
              <wp:extent cx="7772400" cy="146050"/>
              <wp:effectExtent l="0" t="0" r="0" b="6350"/>
              <wp:wrapNone/>
              <wp:docPr id="11" name="Rectangle 11"/>
              <wp:cNvGraphicFramePr/>
              <a:graphic xmlns:a="http://schemas.openxmlformats.org/drawingml/2006/main">
                <a:graphicData uri="http://schemas.microsoft.com/office/word/2010/wordprocessingShape">
                  <wps:wsp>
                    <wps:cNvSpPr/>
                    <wps:spPr>
                      <a:xfrm>
                        <a:off x="0" y="0"/>
                        <a:ext cx="7772400" cy="146050"/>
                      </a:xfrm>
                      <a:prstGeom prst="rect">
                        <a:avLst/>
                      </a:prstGeom>
                      <a:gradFill>
                        <a:gsLst>
                          <a:gs pos="0">
                            <a:srgbClr val="00B095"/>
                          </a:gs>
                          <a:gs pos="41000">
                            <a:srgbClr val="00B095"/>
                          </a:gs>
                          <a:gs pos="100000">
                            <a:srgbClr val="05A2C6"/>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style="position:absolute;margin-left:-71.95pt;margin-top:55.35pt;width:612pt;height: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b095" stroked="f" strokeweight="1pt" w14:anchorId="750E8B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">
              <v:fill type="gradient" color2="#05a2c6" colors="0 #00b095;26870f #00b095;1 #05a2c6" angle="90" focus="100%">
                <o:fill v:ext="view" type="gradientUnscaled"/>
              </v:fill>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B41C6" w:rsidRDefault="00FB41C6" w14:paraId="23F33DA1" w14:textId="76D85D70"/>
  <w:p w:rsidR="00CF4C4A" w:rsidRDefault="005D6075" w14:paraId="45900A3A" w14:textId="6B734A7E">
    <w:pPr>
      <w:jc w:val="right"/>
      <w:textAlignment w:val="bottom"/>
    </w:pPr>
    <w:r>
      <w:rPr>
        <w:noProof/>
      </w:rPr>
      <mc:AlternateContent>
        <mc:Choice Requires="wps">
          <w:drawing>
            <wp:anchor distT="0" distB="0" distL="114300" distR="114300" simplePos="0" relativeHeight="251659264" behindDoc="0" locked="0" layoutInCell="1" allowOverlap="1" wp14:anchorId="6E26B60E" wp14:editId="7699CE90">
              <wp:simplePos x="0" y="0"/>
              <wp:positionH relativeFrom="column">
                <wp:posOffset>-914400</wp:posOffset>
              </wp:positionH>
              <wp:positionV relativeFrom="paragraph">
                <wp:posOffset>489494</wp:posOffset>
              </wp:positionV>
              <wp:extent cx="7772400" cy="146304"/>
              <wp:effectExtent l="0" t="0" r="0" b="6350"/>
              <wp:wrapNone/>
              <wp:docPr id="10" name="Rectangle 10"/>
              <wp:cNvGraphicFramePr/>
              <a:graphic xmlns:a="http://schemas.openxmlformats.org/drawingml/2006/main">
                <a:graphicData uri="http://schemas.microsoft.com/office/word/2010/wordprocessingShape">
                  <wps:wsp>
                    <wps:cNvSpPr/>
                    <wps:spPr>
                      <a:xfrm>
                        <a:off x="0" y="0"/>
                        <a:ext cx="7772400" cy="146304"/>
                      </a:xfrm>
                      <a:prstGeom prst="rect">
                        <a:avLst/>
                      </a:prstGeom>
                      <a:gradFill>
                        <a:gsLst>
                          <a:gs pos="0">
                            <a:srgbClr val="00B095"/>
                          </a:gs>
                          <a:gs pos="41000">
                            <a:srgbClr val="00B095"/>
                          </a:gs>
                          <a:gs pos="100000">
                            <a:srgbClr val="05A2C6"/>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style="position:absolute;margin-left:-1in;margin-top:38.55pt;width:612pt;height: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b095" stroked="f" strokeweight="1pt" w14:anchorId="0626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">
              <v:fill type="gradient" color2="#05a2c6" colors="0 #00b095;26870f #00b095;1 #05a2c6" angle="90" focus="100%">
                <o:fill v:ext="view" type="gradientUnscaled"/>
              </v:fil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2A8F" w:rsidP="00B12016" w:rsidRDefault="00172A8F" w14:paraId="79FB2E7B" w14:textId="77777777">
      <w:r>
        <w:separator/>
      </w:r>
    </w:p>
  </w:footnote>
  <w:footnote w:type="continuationSeparator" w:id="0">
    <w:p w:rsidR="00172A8F" w:rsidP="00B12016" w:rsidRDefault="00172A8F" w14:paraId="272C80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2016" w:rsidP="00B12016" w:rsidRDefault="00B12016" w14:paraId="03757C23" w14:textId="77777777">
    <w:pPr>
      <w:spacing w:before="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77AB8" w:rsidP="00733B1D" w:rsidRDefault="000676BF" w14:paraId="0C0E0017" w14:textId="6B9EE988">
    <w:pPr>
      <w:spacing w:before="480"/>
      <w:jc w:val="right"/>
    </w:pPr>
    <w:r>
      <w:rPr>
        <w:rFonts w:ascii="Arial" w:hAnsi="Arial" w:cs="Arial"/>
        <w:b/>
        <w:bCs/>
        <w:noProof/>
        <w:color w:val="003241" w:themeColor="text2"/>
      </w:rPr>
      <w:drawing>
        <wp:inline distT="0" distB="0" distL="0" distR="0" wp14:anchorId="4A71F107" wp14:editId="229DCB04">
          <wp:extent cx="1918805" cy="349321"/>
          <wp:effectExtent l="0" t="0" r="0" b="0"/>
          <wp:docPr id="710929569" name="Picture 8"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29569" name="Picture 8"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3466" cy="364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11176"/>
    <w:multiLevelType w:val="hybridMultilevel"/>
    <w:tmpl w:val="38C6912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60500E0"/>
    <w:multiLevelType w:val="hybridMultilevel"/>
    <w:tmpl w:val="8A84748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E0025A8"/>
    <w:multiLevelType w:val="hybridMultilevel"/>
    <w:tmpl w:val="A680F65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65D480A"/>
    <w:multiLevelType w:val="hybridMultilevel"/>
    <w:tmpl w:val="2B667598"/>
    <w:lvl w:ilvl="0" w:tplc="CEDA3104">
      <w:start w:val="1"/>
      <w:numFmt w:val="bullet"/>
      <w:pStyle w:val="BodyCopyBulletAscensus"/>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 w15:restartNumberingAfterBreak="0">
    <w:nsid w:val="582C4B7B"/>
    <w:multiLevelType w:val="hybridMultilevel"/>
    <w:tmpl w:val="FB66FF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70274B01"/>
    <w:multiLevelType w:val="hybridMultilevel"/>
    <w:tmpl w:val="59F45E90"/>
    <w:lvl w:ilvl="0" w:tplc="9048A89E">
      <w:start w:val="45"/>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60725551">
    <w:abstractNumId w:val="1"/>
  </w:num>
  <w:num w:numId="2" w16cid:durableId="2119333391">
    <w:abstractNumId w:val="2"/>
  </w:num>
  <w:num w:numId="3" w16cid:durableId="1682078088">
    <w:abstractNumId w:val="0"/>
  </w:num>
  <w:num w:numId="4" w16cid:durableId="1728142213">
    <w:abstractNumId w:val="3"/>
  </w:num>
  <w:num w:numId="5" w16cid:durableId="485319367">
    <w:abstractNumId w:val="5"/>
  </w:num>
  <w:num w:numId="6" w16cid:durableId="979846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C9"/>
    <w:rsid w:val="0003684C"/>
    <w:rsid w:val="000676BF"/>
    <w:rsid w:val="00070E0A"/>
    <w:rsid w:val="000C0C51"/>
    <w:rsid w:val="000C693F"/>
    <w:rsid w:val="000F1DDF"/>
    <w:rsid w:val="000F4B21"/>
    <w:rsid w:val="00125493"/>
    <w:rsid w:val="00131BE5"/>
    <w:rsid w:val="001362AB"/>
    <w:rsid w:val="00144305"/>
    <w:rsid w:val="001464FE"/>
    <w:rsid w:val="00172A8F"/>
    <w:rsid w:val="00185BC0"/>
    <w:rsid w:val="001B1D32"/>
    <w:rsid w:val="001C7383"/>
    <w:rsid w:val="001C7BF4"/>
    <w:rsid w:val="001D179F"/>
    <w:rsid w:val="001D6F7F"/>
    <w:rsid w:val="001F1CC8"/>
    <w:rsid w:val="00233DAB"/>
    <w:rsid w:val="00246B43"/>
    <w:rsid w:val="00257EEC"/>
    <w:rsid w:val="00264913"/>
    <w:rsid w:val="002A14AA"/>
    <w:rsid w:val="002E1F91"/>
    <w:rsid w:val="002E32D7"/>
    <w:rsid w:val="00323342"/>
    <w:rsid w:val="00371A91"/>
    <w:rsid w:val="0039585C"/>
    <w:rsid w:val="00401460"/>
    <w:rsid w:val="00415C28"/>
    <w:rsid w:val="00462360"/>
    <w:rsid w:val="004A4703"/>
    <w:rsid w:val="004C59C7"/>
    <w:rsid w:val="00500102"/>
    <w:rsid w:val="005200D6"/>
    <w:rsid w:val="00520834"/>
    <w:rsid w:val="00522497"/>
    <w:rsid w:val="005273BB"/>
    <w:rsid w:val="005431E9"/>
    <w:rsid w:val="00560078"/>
    <w:rsid w:val="005634A2"/>
    <w:rsid w:val="00591D78"/>
    <w:rsid w:val="00593B41"/>
    <w:rsid w:val="005A6DDC"/>
    <w:rsid w:val="005C115D"/>
    <w:rsid w:val="005D38F1"/>
    <w:rsid w:val="005D6075"/>
    <w:rsid w:val="005F3751"/>
    <w:rsid w:val="00604BB8"/>
    <w:rsid w:val="006107DA"/>
    <w:rsid w:val="00623F85"/>
    <w:rsid w:val="006C2BE1"/>
    <w:rsid w:val="006F5675"/>
    <w:rsid w:val="00711BF8"/>
    <w:rsid w:val="00732FE5"/>
    <w:rsid w:val="00733B1D"/>
    <w:rsid w:val="007866FA"/>
    <w:rsid w:val="007D041A"/>
    <w:rsid w:val="00807A68"/>
    <w:rsid w:val="00855003"/>
    <w:rsid w:val="00870E18"/>
    <w:rsid w:val="008A2827"/>
    <w:rsid w:val="00961E2D"/>
    <w:rsid w:val="00965D57"/>
    <w:rsid w:val="009C551D"/>
    <w:rsid w:val="009E30CE"/>
    <w:rsid w:val="009F0F8D"/>
    <w:rsid w:val="009F5E34"/>
    <w:rsid w:val="00A05ACF"/>
    <w:rsid w:val="00A45F12"/>
    <w:rsid w:val="00A7348B"/>
    <w:rsid w:val="00A77AB8"/>
    <w:rsid w:val="00A8187A"/>
    <w:rsid w:val="00A95DE8"/>
    <w:rsid w:val="00B12016"/>
    <w:rsid w:val="00B56A97"/>
    <w:rsid w:val="00B9704F"/>
    <w:rsid w:val="00BA14C4"/>
    <w:rsid w:val="00C13548"/>
    <w:rsid w:val="00C25D5D"/>
    <w:rsid w:val="00CA419C"/>
    <w:rsid w:val="00CA7970"/>
    <w:rsid w:val="00CC1D7F"/>
    <w:rsid w:val="00CD4D94"/>
    <w:rsid w:val="00CF4C4A"/>
    <w:rsid w:val="00D77DBC"/>
    <w:rsid w:val="00DA6611"/>
    <w:rsid w:val="00DB3CFA"/>
    <w:rsid w:val="00DC43C9"/>
    <w:rsid w:val="00DE3826"/>
    <w:rsid w:val="00E00209"/>
    <w:rsid w:val="00E2261E"/>
    <w:rsid w:val="00E43EC2"/>
    <w:rsid w:val="00EB39BB"/>
    <w:rsid w:val="00F02256"/>
    <w:rsid w:val="00F12956"/>
    <w:rsid w:val="00F16325"/>
    <w:rsid w:val="00F6490F"/>
    <w:rsid w:val="00F825A0"/>
    <w:rsid w:val="00FB41C6"/>
    <w:rsid w:val="00FC0512"/>
    <w:rsid w:val="00FD1E11"/>
    <w:rsid w:val="24C76BCB"/>
    <w:rsid w:val="42AF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317C3"/>
  <w15:docId w15:val="{52A45F76-D246-44F6-8EA4-688F2DE7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32FE5"/>
    <w:pPr>
      <w:tabs>
        <w:tab w:val="center" w:pos="4680"/>
        <w:tab w:val="right" w:pos="9360"/>
      </w:tabs>
    </w:pPr>
  </w:style>
  <w:style w:type="character" w:styleId="HeaderChar" w:customStyle="1">
    <w:name w:val="Header Char"/>
    <w:basedOn w:val="DefaultParagraphFont"/>
    <w:link w:val="Header"/>
    <w:uiPriority w:val="99"/>
    <w:rsid w:val="00732FE5"/>
  </w:style>
  <w:style w:type="paragraph" w:styleId="EyebrowAscensus" w:customStyle="1">
    <w:name w:val="Eyebrow Ascensus"/>
    <w:qFormat/>
    <w:rsid w:val="00732FE5"/>
    <w:rPr>
      <w:rFonts w:ascii="Arial" w:hAnsi="Arial" w:cs="Arial"/>
      <w:b/>
      <w:bCs/>
      <w:iCs/>
      <w:caps/>
      <w:noProof/>
      <w:color w:val="003241"/>
      <w:spacing w:val="12"/>
      <w:sz w:val="18"/>
      <w:szCs w:val="18"/>
    </w:rPr>
  </w:style>
  <w:style w:type="table" w:styleId="TableGrid">
    <w:name w:val="Table Grid"/>
    <w:basedOn w:val="TableNormal"/>
    <w:uiPriority w:val="39"/>
    <w:rsid w:val="00A77AB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B39BB"/>
  </w:style>
  <w:style w:type="character" w:styleId="CommentReference">
    <w:name w:val="annotation reference"/>
    <w:basedOn w:val="DefaultParagraphFont"/>
    <w:uiPriority w:val="99"/>
    <w:semiHidden/>
    <w:unhideWhenUsed/>
    <w:rsid w:val="007D041A"/>
    <w:rPr>
      <w:sz w:val="16"/>
      <w:szCs w:val="16"/>
    </w:rPr>
  </w:style>
  <w:style w:type="paragraph" w:styleId="CommentSubject">
    <w:name w:val="annotation subject"/>
    <w:basedOn w:val="Normal"/>
    <w:next w:val="Normal"/>
    <w:link w:val="CommentSubjectChar"/>
    <w:uiPriority w:val="99"/>
    <w:semiHidden/>
    <w:unhideWhenUsed/>
    <w:rsid w:val="00732FE5"/>
    <w:rPr>
      <w:b/>
      <w:bCs/>
      <w:sz w:val="20"/>
      <w:szCs w:val="20"/>
    </w:rPr>
  </w:style>
  <w:style w:type="character" w:styleId="CommentSubjectChar" w:customStyle="1">
    <w:name w:val="Comment Subject Char"/>
    <w:basedOn w:val="DefaultParagraphFont"/>
    <w:link w:val="CommentSubject"/>
    <w:uiPriority w:val="99"/>
    <w:semiHidden/>
    <w:rsid w:val="00732FE5"/>
    <w:rPr>
      <w:b/>
      <w:bCs/>
      <w:sz w:val="20"/>
      <w:szCs w:val="20"/>
    </w:rPr>
  </w:style>
  <w:style w:type="character" w:styleId="Hyperlink">
    <w:name w:val="Hyperlink"/>
    <w:basedOn w:val="DefaultParagraphFont"/>
    <w:uiPriority w:val="99"/>
    <w:unhideWhenUsed/>
    <w:rsid w:val="007866FA"/>
    <w:rPr>
      <w:color w:val="6666CC" w:themeColor="hyperlink"/>
      <w:u w:val="single"/>
    </w:rPr>
  </w:style>
  <w:style w:type="character" w:styleId="UnresolvedMention">
    <w:name w:val="Unresolved Mention"/>
    <w:basedOn w:val="DefaultParagraphFont"/>
    <w:uiPriority w:val="99"/>
    <w:semiHidden/>
    <w:unhideWhenUsed/>
    <w:rsid w:val="007866FA"/>
    <w:rPr>
      <w:color w:val="605E5C"/>
      <w:shd w:val="clear" w:color="auto" w:fill="E1DFDD"/>
    </w:rPr>
  </w:style>
  <w:style w:type="paragraph" w:styleId="Heading1Ascensus" w:customStyle="1">
    <w:name w:val="Heading 1 Ascensus"/>
    <w:qFormat/>
    <w:rsid w:val="00870E18"/>
    <w:pPr>
      <w:spacing w:after="60"/>
      <w:ind w:right="720"/>
    </w:pPr>
    <w:rPr>
      <w:rFonts w:ascii="Arial" w:hAnsi="Arial" w:cs="Arial"/>
      <w:b/>
      <w:bCs/>
      <w:color w:val="003241"/>
      <w:sz w:val="48"/>
      <w:szCs w:val="48"/>
    </w:rPr>
  </w:style>
  <w:style w:type="paragraph" w:styleId="SubheadAscensus" w:customStyle="1">
    <w:name w:val="Subhead Ascensus"/>
    <w:qFormat/>
    <w:rsid w:val="00870E18"/>
    <w:pPr>
      <w:ind w:right="720"/>
    </w:pPr>
    <w:rPr>
      <w:rFonts w:ascii="Arial" w:hAnsi="Arial" w:cs="Arial"/>
      <w:b/>
      <w:bCs/>
      <w:color w:val="026B84"/>
    </w:rPr>
  </w:style>
  <w:style w:type="paragraph" w:styleId="SectionHeaderSentenceCaseAscensus" w:customStyle="1">
    <w:name w:val="Section Header Sentence Case Ascensus"/>
    <w:qFormat/>
    <w:rsid w:val="00870E18"/>
    <w:pPr>
      <w:spacing w:line="360" w:lineRule="auto"/>
      <w:ind w:right="720"/>
    </w:pPr>
    <w:rPr>
      <w:rFonts w:ascii="Arial" w:hAnsi="Arial" w:cs="Arial"/>
      <w:b/>
      <w:bCs/>
      <w:color w:val="007B68"/>
      <w:sz w:val="22"/>
      <w:szCs w:val="22"/>
    </w:rPr>
  </w:style>
  <w:style w:type="paragraph" w:styleId="BodyCopyAscensus" w:customStyle="1">
    <w:name w:val="Body Copy Ascensus"/>
    <w:basedOn w:val="Normal"/>
    <w:qFormat/>
    <w:rsid w:val="00144305"/>
    <w:pPr>
      <w:spacing w:line="276" w:lineRule="auto"/>
      <w:ind w:right="720"/>
    </w:pPr>
    <w:rPr>
      <w:rFonts w:ascii="Arial" w:hAnsi="Arial" w:cs="Arial"/>
      <w:color w:val="595959"/>
      <w:sz w:val="20"/>
      <w:szCs w:val="20"/>
    </w:rPr>
  </w:style>
  <w:style w:type="paragraph" w:styleId="BodyCopyBulletAscensus" w:customStyle="1">
    <w:name w:val="Body Copy Bullet Ascensus"/>
    <w:qFormat/>
    <w:rsid w:val="00FC0512"/>
    <w:pPr>
      <w:numPr>
        <w:numId w:val="4"/>
      </w:numPr>
      <w:spacing w:before="30" w:after="30" w:line="276" w:lineRule="auto"/>
      <w:ind w:right="720"/>
    </w:pPr>
    <w:rPr>
      <w:rFonts w:ascii="Arial" w:hAnsi="Arial" w:cs="Arial"/>
      <w:color w:val="595959"/>
      <w:sz w:val="20"/>
      <w:szCs w:val="20"/>
    </w:rPr>
  </w:style>
  <w:style w:type="character" w:styleId="BoldBodyCopyBulletAscensus" w:customStyle="1">
    <w:name w:val="Bold Body Copy Bullet Ascensus"/>
    <w:uiPriority w:val="1"/>
    <w:qFormat/>
    <w:rsid w:val="00144305"/>
    <w:rPr>
      <w:rFonts w:ascii="Arial" w:hAnsi="Arial" w:cs="Arial"/>
      <w:b/>
      <w:bCs/>
      <w:color w:val="003241"/>
      <w:sz w:val="20"/>
      <w:szCs w:val="20"/>
    </w:rPr>
  </w:style>
  <w:style w:type="paragraph" w:styleId="FootnoteAscensus" w:customStyle="1">
    <w:name w:val="Footnote Ascensus"/>
    <w:qFormat/>
    <w:rsid w:val="00144305"/>
    <w:pPr>
      <w:spacing w:line="276" w:lineRule="auto"/>
      <w:ind w:right="720"/>
    </w:pPr>
    <w:rPr>
      <w:rFonts w:ascii="Arial" w:hAnsi="Arial" w:cs="Arial"/>
      <w:iCs/>
      <w:color w:val="595959"/>
      <w:sz w:val="16"/>
      <w:szCs w:val="16"/>
    </w:rPr>
  </w:style>
  <w:style w:type="paragraph" w:styleId="FooterAscensus" w:customStyle="1">
    <w:name w:val="Footer Ascensus"/>
    <w:qFormat/>
    <w:rsid w:val="00144305"/>
    <w:rPr>
      <w:rFonts w:ascii="Arial" w:hAnsi="Arial" w:cs="Arial"/>
      <w:color w:val="595959"/>
      <w:sz w:val="17"/>
      <w:szCs w:val="17"/>
    </w:rPr>
  </w:style>
  <w:style w:type="paragraph" w:styleId="SectionHeaderUpperCaseAscensus" w:customStyle="1">
    <w:name w:val="Section Header Upper Case Ascensus"/>
    <w:qFormat/>
    <w:rsid w:val="00870E18"/>
    <w:pPr>
      <w:spacing w:before="120" w:after="120"/>
    </w:pPr>
    <w:rPr>
      <w:rFonts w:ascii="Arial" w:hAnsi="Arial" w:cs="Arial"/>
      <w:b/>
      <w:bCs/>
      <w:caps/>
      <w:color w:val="007B68"/>
      <w:spacing w:val="12"/>
      <w:sz w:val="21"/>
      <w:szCs w:val="21"/>
    </w:rPr>
  </w:style>
  <w:style w:type="paragraph" w:styleId="SectionSubhead" w:customStyle="1">
    <w:name w:val="Section Subhead"/>
    <w:qFormat/>
    <w:rsid w:val="002E32D7"/>
    <w:rPr>
      <w:rFonts w:ascii="Arial" w:hAnsi="Arial" w:cs="Arial"/>
      <w:b/>
      <w:bCs/>
      <w:color w:val="595959"/>
      <w:sz w:val="20"/>
      <w:szCs w:val="20"/>
    </w:rPr>
  </w:style>
  <w:style w:type="paragraph" w:styleId="CalltoActionAscensus" w:customStyle="1">
    <w:name w:val="Call to Action Ascensus"/>
    <w:qFormat/>
    <w:rsid w:val="00CA419C"/>
    <w:rPr>
      <w:rFonts w:ascii="Arial" w:hAnsi="Arial" w:cs="Arial"/>
      <w:b/>
      <w:bCs/>
      <w:color w:val="003241"/>
      <w:sz w:val="21"/>
      <w:szCs w:val="21"/>
    </w:rPr>
  </w:style>
  <w:style w:type="character" w:styleId="PageNumber">
    <w:name w:val="page number"/>
    <w:basedOn w:val="DefaultParagraphFont"/>
    <w:uiPriority w:val="99"/>
    <w:semiHidden/>
    <w:unhideWhenUsed/>
    <w:rsid w:val="00CA419C"/>
  </w:style>
  <w:style w:type="paragraph" w:styleId="PageNumberAscensus" w:customStyle="1">
    <w:name w:val="Page Number Ascensus"/>
    <w:qFormat/>
    <w:rsid w:val="00732FE5"/>
    <w:pPr>
      <w:framePr w:wrap="none" w:hAnchor="margin" w:vAnchor="text" w:xAlign="right" w:y="205"/>
    </w:pPr>
    <w:rPr>
      <w:rFonts w:ascii="Arial" w:hAnsi="Arial" w:cs="Arial"/>
      <w:color w:val="58595B"/>
      <w:sz w:val="18"/>
      <w:szCs w:val="18"/>
    </w:rPr>
  </w:style>
  <w:style w:type="paragraph" w:styleId="ListParagraph">
    <w:name w:val="List Paragraph"/>
    <w:basedOn w:val="Normal"/>
    <w:uiPriority w:val="34"/>
    <w:qFormat/>
    <w:rsid w:val="001B1D32"/>
    <w:pPr>
      <w:ind w:left="720"/>
      <w:contextualSpacing/>
    </w:pPr>
    <w:rPr>
      <w:kern w:val="2"/>
      <w14:ligatures w14:val="standardContextual"/>
    </w:rPr>
  </w:style>
  <w:style w:type="paragraph" w:styleId="EndnoteText">
    <w:name w:val="endnote text"/>
    <w:basedOn w:val="Normal"/>
    <w:link w:val="EndnoteTextChar"/>
    <w:uiPriority w:val="99"/>
    <w:semiHidden/>
    <w:unhideWhenUsed/>
    <w:rsid w:val="001B1D32"/>
    <w:rPr>
      <w:kern w:val="2"/>
      <w:sz w:val="20"/>
      <w:szCs w:val="20"/>
      <w14:ligatures w14:val="standardContextual"/>
    </w:rPr>
  </w:style>
  <w:style w:type="character" w:styleId="EndnoteTextChar" w:customStyle="1">
    <w:name w:val="Endnote Text Char"/>
    <w:basedOn w:val="DefaultParagraphFont"/>
    <w:link w:val="EndnoteText"/>
    <w:uiPriority w:val="99"/>
    <w:semiHidden/>
    <w:rsid w:val="001B1D32"/>
    <w:rPr>
      <w:kern w:val="2"/>
      <w:sz w:val="20"/>
      <w:szCs w:val="20"/>
      <w14:ligatures w14:val="standardContextual"/>
    </w:rPr>
  </w:style>
  <w:style w:type="character" w:styleId="EndnoteReference">
    <w:name w:val="endnote reference"/>
    <w:basedOn w:val="DefaultParagraphFont"/>
    <w:uiPriority w:val="99"/>
    <w:semiHidden/>
    <w:unhideWhenUsed/>
    <w:rsid w:val="001B1D32"/>
    <w:rPr>
      <w:vertAlign w:val="superscript"/>
    </w:rPr>
  </w:style>
  <w:style w:type="table" w:styleId="TableGridLight">
    <w:name w:val="Grid Table Light"/>
    <w:basedOn w:val="TableNormal"/>
    <w:uiPriority w:val="40"/>
    <w:rsid w:val="001B1D32"/>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1B1D32"/>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B1D32"/>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1B1D32"/>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B1D32"/>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569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futureplan.supportpoint.com/Viewer/Viewer/Document/1545?reftype=ilink_id&amp;accesstype=documentlink" TargetMode="Externa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hyperlink" Target="https://www.futureplan.com/3893?culture=en-US" TargetMode="External" Id="R66fad1cef755435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census ADA">
      <a:dk1>
        <a:srgbClr val="000000"/>
      </a:dk1>
      <a:lt1>
        <a:srgbClr val="FFFFFF"/>
      </a:lt1>
      <a:dk2>
        <a:srgbClr val="003241"/>
      </a:dk2>
      <a:lt2>
        <a:srgbClr val="C3C3C3"/>
      </a:lt2>
      <a:accent1>
        <a:srgbClr val="00A88C"/>
      </a:accent1>
      <a:accent2>
        <a:srgbClr val="026B84"/>
      </a:accent2>
      <a:accent3>
        <a:srgbClr val="05A2C6"/>
      </a:accent3>
      <a:accent4>
        <a:srgbClr val="524887"/>
      </a:accent4>
      <a:accent5>
        <a:srgbClr val="AF4D7E"/>
      </a:accent5>
      <a:accent6>
        <a:srgbClr val="E4705E"/>
      </a:accent6>
      <a:hlink>
        <a:srgbClr val="6666CC"/>
      </a:hlink>
      <a:folHlink>
        <a:srgbClr val="6666CC"/>
      </a:folHlink>
    </a:clrScheme>
    <a:fontScheme name="Ascensu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BA5A-1274-174F-8EC0-8AFB6CEE0A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Jill Richards</dc:creator>
  <lastModifiedBy>Elizabeth Pagano</lastModifiedBy>
  <revision>7</revision>
  <dcterms:created xsi:type="dcterms:W3CDTF">2025-02-11T04:14:00.0000000Z</dcterms:created>
  <dcterms:modified xsi:type="dcterms:W3CDTF">2025-02-11T18:07:31.9475842Z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-1785354979</vt:i4>
  </property>
  <property fmtid="{D5CDD505-2E9C-101B-9397-08002B2CF9AE}" pid="4" name="_EmailSubject">
    <vt:lpwstr>Best Practices Link</vt:lpwstr>
  </property>
  <property fmtid="{D5CDD505-2E9C-101B-9397-08002B2CF9AE}" pid="5" name="_AuthorEmail">
    <vt:lpwstr>Elizabeth.Pagano@futureplan.com</vt:lpwstr>
  </property>
  <property fmtid="{D5CDD505-2E9C-101B-9397-08002B2CF9AE}" pid="6" name="_AuthorEmailDisplayName">
    <vt:lpwstr>Elizabeth Pagano</vt:lpwstr>
  </property>
</Properties>
</file>