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9BE0" w14:textId="77777777" w:rsidR="005D56F0" w:rsidRPr="00F65FCA" w:rsidRDefault="005D56F0" w:rsidP="005D56F0">
      <w:r>
        <w:rPr>
          <w:b/>
          <w:bCs/>
        </w:rPr>
        <w:t xml:space="preserve">SUBJECT LINE: </w:t>
      </w:r>
      <w:r>
        <w:t xml:space="preserve">Cash balance – Learn how to use this transformative tool 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6DC216B0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6DC216B0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6DC216B0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7B55BD6D" w14:textId="1D3AB43A" w:rsidR="00AA7633" w:rsidRDefault="005D56F0" w:rsidP="00981BE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5D56F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Are you interested in learning how many of your Merrill colleagues are using cash balance plans to hit their growth targets by offering differentiated solutions for business owners? </w:t>
            </w:r>
            <w:r w:rsidR="00B05AAF" w:rsidRPr="00B05AA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65AEE2DD" w14:textId="77777777" w:rsidR="00B05AAF" w:rsidRDefault="00B05AAF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F5D3319" w14:textId="52556636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t>If so, join us for FuturePlan’s next Cash Balance Coach training session. This 60-minute webinar will explain: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257E1FB3" w14:textId="77777777" w:rsidR="005D56F0" w:rsidRPr="005D56F0" w:rsidRDefault="005D56F0" w:rsidP="005D56F0">
            <w:pPr>
              <w:pStyle w:val="ListParagraph"/>
              <w:numPr>
                <w:ilvl w:val="0"/>
                <w:numId w:val="12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t>Why cash balance plans are becoming more popular among advisors who want to work with more business owners</w:t>
            </w:r>
          </w:p>
          <w:p w14:paraId="7292D2CB" w14:textId="247BD420" w:rsidR="005D56F0" w:rsidRPr="005D56F0" w:rsidRDefault="6DC216B0" w:rsidP="005D56F0">
            <w:pPr>
              <w:pStyle w:val="ListParagraph"/>
              <w:numPr>
                <w:ilvl w:val="0"/>
                <w:numId w:val="12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DC216B0">
              <w:rPr>
                <w:rFonts w:ascii="Arial" w:hAnsi="Arial" w:cs="Arial"/>
                <w:color w:val="000000" w:themeColor="text1"/>
                <w:sz w:val="28"/>
                <w:szCs w:val="28"/>
              </w:rPr>
              <w:t>How much in additional retirement contributions and tax savings these plans can generate for business owners under various scenarios</w:t>
            </w:r>
          </w:p>
          <w:p w14:paraId="05AD9B81" w14:textId="77777777" w:rsidR="005D56F0" w:rsidRPr="005D56F0" w:rsidRDefault="005D56F0" w:rsidP="005D56F0">
            <w:pPr>
              <w:pStyle w:val="ListParagraph"/>
              <w:numPr>
                <w:ilvl w:val="0"/>
                <w:numId w:val="12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How to identify ideal candidates for cash balance plans </w:t>
            </w:r>
          </w:p>
          <w:p w14:paraId="70334A99" w14:textId="77777777" w:rsidR="005D56F0" w:rsidRPr="005D56F0" w:rsidRDefault="005D56F0" w:rsidP="005D56F0">
            <w:pPr>
              <w:pStyle w:val="ListParagraph"/>
              <w:numPr>
                <w:ilvl w:val="0"/>
                <w:numId w:val="12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t>How FuturePlan guides advisors and their clients through every step of establishing and maintaining a cash balance plan</w:t>
            </w:r>
          </w:p>
          <w:p w14:paraId="7AC1CC42" w14:textId="77777777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7C609C4" w14:textId="0A18DF04" w:rsidR="005D56F0" w:rsidRPr="005D56F0" w:rsidRDefault="6DC216B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DC216B0">
              <w:rPr>
                <w:rFonts w:ascii="Arial" w:hAnsi="Arial" w:cs="Arial"/>
                <w:color w:val="000000" w:themeColor="text1"/>
                <w:sz w:val="28"/>
                <w:szCs w:val="28"/>
              </w:rPr>
              <w:t>Register for an upcoming Cash Balance Coach training session on [custom reg link here].</w:t>
            </w:r>
          </w:p>
          <w:p w14:paraId="0371A5E8" w14:textId="77777777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9F678F1" w14:textId="77777777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FuturePlan is one of the retirement industry’s largest administrators of cash balance plans. Our in-house experts are dedicated to </w:t>
            </w: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helping advisors put the power of these retirement plans to work for their clients—and their practice. </w:t>
            </w:r>
          </w:p>
          <w:p w14:paraId="3F8A9037" w14:textId="77777777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1CB5F94" w14:textId="6C670ACD" w:rsidR="005D56F0" w:rsidRPr="005D56F0" w:rsidRDefault="6DC216B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DC216B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You can learn more in the </w:t>
            </w:r>
            <w:hyperlink r:id="rId9">
              <w:r w:rsidRPr="00051721">
                <w:rPr>
                  <w:rStyle w:val="Hyperlink"/>
                  <w:rFonts w:ascii="Arial" w:hAnsi="Arial" w:cs="Arial"/>
                  <w:sz w:val="28"/>
                  <w:szCs w:val="28"/>
                </w:rPr>
                <w:t>Advisor Playbook</w:t>
              </w:r>
            </w:hyperlink>
            <w:r w:rsidRPr="6DC216B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on </w:t>
            </w:r>
            <w:r w:rsidRPr="00752E9F">
              <w:rPr>
                <w:rFonts w:ascii="Arial" w:hAnsi="Arial" w:cs="Arial"/>
                <w:b/>
                <w:bCs/>
                <w:sz w:val="28"/>
                <w:szCs w:val="28"/>
              </w:rPr>
              <w:t>Merrill’s RCMA Investment Only Resource Central advisor site</w:t>
            </w:r>
            <w:r w:rsidRPr="00752E9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6DC216B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321E8330" w14:textId="77777777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79B9AC8" w14:textId="77777777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t>Please reach out if you’d like to discuss or if you have any questions.</w:t>
            </w:r>
          </w:p>
          <w:p w14:paraId="078DDC67" w14:textId="77777777" w:rsidR="005D56F0" w:rsidRPr="005D56F0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9E2F7BE" w14:textId="684D048D" w:rsidR="00B05AAF" w:rsidRDefault="005D56F0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D56F0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6891BBEA" w:rsidR="009100D5" w:rsidRPr="00B05AAF" w:rsidRDefault="00A34511" w:rsidP="00B05AA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0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1A5D30">
        <w:trPr>
          <w:trHeight w:val="1305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018FA17F" w:rsidR="00815312" w:rsidRPr="001A5D30" w:rsidRDefault="00A34511" w:rsidP="001A5D30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1A5D30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6719" w14:textId="77777777" w:rsidR="00AF2934" w:rsidRDefault="00AF2934" w:rsidP="00D07D8F">
      <w:pPr>
        <w:spacing w:after="0" w:line="240" w:lineRule="auto"/>
      </w:pPr>
      <w:r>
        <w:separator/>
      </w:r>
    </w:p>
  </w:endnote>
  <w:endnote w:type="continuationSeparator" w:id="0">
    <w:p w14:paraId="1D0836C7" w14:textId="77777777" w:rsidR="00AF2934" w:rsidRDefault="00AF2934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380D" w14:textId="77777777" w:rsidR="00AF2934" w:rsidRDefault="00AF2934" w:rsidP="00D07D8F">
      <w:pPr>
        <w:spacing w:after="0" w:line="240" w:lineRule="auto"/>
      </w:pPr>
      <w:r>
        <w:separator/>
      </w:r>
    </w:p>
  </w:footnote>
  <w:footnote w:type="continuationSeparator" w:id="0">
    <w:p w14:paraId="191EACCC" w14:textId="77777777" w:rsidR="00AF2934" w:rsidRDefault="00AF2934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25B"/>
    <w:multiLevelType w:val="hybridMultilevel"/>
    <w:tmpl w:val="159EB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3CA7"/>
    <w:multiLevelType w:val="hybridMultilevel"/>
    <w:tmpl w:val="0542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10AF"/>
    <w:multiLevelType w:val="hybridMultilevel"/>
    <w:tmpl w:val="568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31A"/>
    <w:multiLevelType w:val="hybridMultilevel"/>
    <w:tmpl w:val="FCC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2"/>
  </w:num>
  <w:num w:numId="2" w16cid:durableId="1362782284">
    <w:abstractNumId w:val="9"/>
  </w:num>
  <w:num w:numId="3" w16cid:durableId="1695837537">
    <w:abstractNumId w:val="8"/>
  </w:num>
  <w:num w:numId="4" w16cid:durableId="200092275">
    <w:abstractNumId w:val="6"/>
  </w:num>
  <w:num w:numId="5" w16cid:durableId="138498634">
    <w:abstractNumId w:val="5"/>
  </w:num>
  <w:num w:numId="6" w16cid:durableId="1565409866">
    <w:abstractNumId w:val="7"/>
  </w:num>
  <w:num w:numId="7" w16cid:durableId="355885426">
    <w:abstractNumId w:val="4"/>
  </w:num>
  <w:num w:numId="8" w16cid:durableId="1741319241">
    <w:abstractNumId w:val="11"/>
  </w:num>
  <w:num w:numId="9" w16cid:durableId="768543264">
    <w:abstractNumId w:val="3"/>
  </w:num>
  <w:num w:numId="10" w16cid:durableId="882139149">
    <w:abstractNumId w:val="1"/>
  </w:num>
  <w:num w:numId="11" w16cid:durableId="111675268">
    <w:abstractNumId w:val="0"/>
  </w:num>
  <w:num w:numId="12" w16cid:durableId="1965232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51721"/>
    <w:rsid w:val="00097E97"/>
    <w:rsid w:val="000A66AF"/>
    <w:rsid w:val="000E741F"/>
    <w:rsid w:val="00100D95"/>
    <w:rsid w:val="00105FFE"/>
    <w:rsid w:val="00160D99"/>
    <w:rsid w:val="001A5D30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424D45"/>
    <w:rsid w:val="0044581C"/>
    <w:rsid w:val="004575D8"/>
    <w:rsid w:val="00463CBF"/>
    <w:rsid w:val="004743BE"/>
    <w:rsid w:val="0049561F"/>
    <w:rsid w:val="004A4703"/>
    <w:rsid w:val="004C1378"/>
    <w:rsid w:val="004C7EDB"/>
    <w:rsid w:val="005D56F0"/>
    <w:rsid w:val="006817E4"/>
    <w:rsid w:val="006B20BB"/>
    <w:rsid w:val="0071636D"/>
    <w:rsid w:val="00752E9F"/>
    <w:rsid w:val="00766532"/>
    <w:rsid w:val="00815312"/>
    <w:rsid w:val="008377F2"/>
    <w:rsid w:val="0085132B"/>
    <w:rsid w:val="00862776"/>
    <w:rsid w:val="0087217C"/>
    <w:rsid w:val="0087445A"/>
    <w:rsid w:val="009100D5"/>
    <w:rsid w:val="0092629C"/>
    <w:rsid w:val="009605BD"/>
    <w:rsid w:val="00981BEF"/>
    <w:rsid w:val="00A13047"/>
    <w:rsid w:val="00A34511"/>
    <w:rsid w:val="00AA7633"/>
    <w:rsid w:val="00AE7B88"/>
    <w:rsid w:val="00AF2934"/>
    <w:rsid w:val="00AF2946"/>
    <w:rsid w:val="00B05AAF"/>
    <w:rsid w:val="00B12B9A"/>
    <w:rsid w:val="00B35425"/>
    <w:rsid w:val="00B864A0"/>
    <w:rsid w:val="00B877EA"/>
    <w:rsid w:val="00BA281C"/>
    <w:rsid w:val="00BD65CB"/>
    <w:rsid w:val="00CD7A0B"/>
    <w:rsid w:val="00CE19B0"/>
    <w:rsid w:val="00D07D8F"/>
    <w:rsid w:val="00E417D4"/>
    <w:rsid w:val="00E44367"/>
    <w:rsid w:val="00EF57A8"/>
    <w:rsid w:val="00F35FAE"/>
    <w:rsid w:val="00F7102E"/>
    <w:rsid w:val="00FF0E54"/>
    <w:rsid w:val="6DC2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futureplan.com/futureplan-assets/NSB-Play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4</cp:revision>
  <dcterms:created xsi:type="dcterms:W3CDTF">2025-02-18T14:32:00Z</dcterms:created>
  <dcterms:modified xsi:type="dcterms:W3CDTF">2025-02-25T22:21:00Z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220298578</vt:i4>
  </property>
  <property fmtid="{D5CDD505-2E9C-101B-9397-08002B2CF9AE}" pid="3" name="_NewReviewCycle">
    <vt:lpwstr/>
  </property>
  <property fmtid="{D5CDD505-2E9C-101B-9397-08002B2CF9AE}" pid="4" name="_EmailSubject">
    <vt:lpwstr>Email 3-1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-320161490</vt:i4>
  </property>
</Properties>
</file>