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4C9A" w14:textId="77777777" w:rsidR="00B05AAF" w:rsidRDefault="00B05AAF" w:rsidP="00B05AAF">
      <w:r>
        <w:rPr>
          <w:b/>
          <w:bCs/>
        </w:rPr>
        <w:t xml:space="preserve">SUBJECT LINE: </w:t>
      </w:r>
      <w:r>
        <w:t>Cash balance – how to identify ideal candidates</w:t>
      </w:r>
    </w:p>
    <w:p w14:paraId="768821FA" w14:textId="77777777" w:rsidR="00D07D8F" w:rsidRDefault="00D07D8F"/>
    <w:tbl>
      <w:tblPr>
        <w:tblW w:w="9352" w:type="dxa"/>
        <w:jc w:val="center"/>
        <w:tblBorders>
          <w:top w:val="single" w:sz="6" w:space="0" w:color="DDDDDD"/>
          <w:left w:val="single" w:sz="6" w:space="0" w:color="DDDDDD"/>
          <w:bottom w:val="single" w:sz="6" w:space="0" w:color="DDDDDD"/>
          <w:right w:val="single" w:sz="6" w:space="0" w:color="DDDDDD"/>
        </w:tblBorders>
        <w:tblLayout w:type="fixed"/>
        <w:tblCellMar>
          <w:left w:w="0" w:type="dxa"/>
          <w:right w:w="0" w:type="dxa"/>
        </w:tblCellMar>
        <w:tblLook w:val="04A0" w:firstRow="1" w:lastRow="0" w:firstColumn="1" w:lastColumn="0" w:noHBand="0" w:noVBand="1"/>
      </w:tblPr>
      <w:tblGrid>
        <w:gridCol w:w="9352"/>
      </w:tblGrid>
      <w:tr w:rsidR="00815312" w:rsidRPr="008A460F" w14:paraId="70AF5EB8" w14:textId="77777777" w:rsidTr="566DDE49">
        <w:trPr>
          <w:trHeight w:val="819"/>
          <w:jc w:val="center"/>
        </w:trPr>
        <w:tc>
          <w:tcPr>
            <w:tcW w:w="9352" w:type="dxa"/>
            <w:tcBorders>
              <w:top w:val="nil"/>
              <w:left w:val="nil"/>
              <w:bottom w:val="nil"/>
              <w:right w:val="nil"/>
            </w:tcBorders>
          </w:tcPr>
          <w:p w14:paraId="6CEA3991" w14:textId="0B93679F" w:rsidR="00815312" w:rsidRPr="00F7102E" w:rsidRDefault="006817E4" w:rsidP="00A34511">
            <w:pPr>
              <w:tabs>
                <w:tab w:val="left" w:pos="3122"/>
                <w:tab w:val="left" w:pos="3885"/>
                <w:tab w:val="center" w:pos="4664"/>
                <w:tab w:val="right" w:pos="9167"/>
              </w:tabs>
              <w:spacing w:before="240" w:line="240" w:lineRule="auto"/>
              <w:ind w:right="170"/>
              <w:jc w:val="right"/>
              <w:rPr>
                <w:rStyle w:val="Hyperlink"/>
                <w:u w:val="none"/>
              </w:rPr>
            </w:pPr>
            <w:r w:rsidRPr="00F7102E">
              <w:rPr>
                <w:rStyle w:val="Hyperlink"/>
                <w:noProof/>
                <w:u w:val="none"/>
              </w:rPr>
              <w:tab/>
            </w:r>
            <w:r w:rsidRPr="00F7102E">
              <w:rPr>
                <w:rStyle w:val="Hyperlink"/>
                <w:noProof/>
                <w:u w:val="none"/>
              </w:rPr>
              <w:tab/>
            </w:r>
            <w:r w:rsidRPr="00F7102E">
              <w:rPr>
                <w:rStyle w:val="Hyperlink"/>
                <w:noProof/>
                <w:u w:val="none"/>
              </w:rPr>
              <w:tab/>
            </w:r>
            <w:r w:rsidRPr="00F7102E">
              <w:rPr>
                <w:rStyle w:val="Hyperlink"/>
                <w:noProof/>
                <w:u w:val="none"/>
              </w:rPr>
              <w:tab/>
            </w:r>
            <w:r w:rsidR="00A34511" w:rsidRPr="00F7102E">
              <w:rPr>
                <w:rFonts w:ascii="Arial" w:hAnsi="Arial" w:cs="Arial"/>
                <w:noProof/>
              </w:rPr>
              <w:drawing>
                <wp:inline distT="0" distB="0" distL="0" distR="0" wp14:anchorId="2F320EB9" wp14:editId="047923CA">
                  <wp:extent cx="1970249" cy="358775"/>
                  <wp:effectExtent l="0" t="0" r="0" b="0"/>
                  <wp:docPr id="1559083418" name="Picture 155908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83418" name="Picture 15590834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1495" cy="364465"/>
                          </a:xfrm>
                          <a:prstGeom prst="rect">
                            <a:avLst/>
                          </a:prstGeom>
                        </pic:spPr>
                      </pic:pic>
                    </a:graphicData>
                  </a:graphic>
                </wp:inline>
              </w:drawing>
            </w:r>
          </w:p>
        </w:tc>
      </w:tr>
      <w:tr w:rsidR="00AE7B88" w:rsidRPr="008A460F" w14:paraId="78B87ACD" w14:textId="77777777" w:rsidTr="566DDE49">
        <w:trPr>
          <w:trHeight w:val="819"/>
          <w:jc w:val="center"/>
        </w:trPr>
        <w:tc>
          <w:tcPr>
            <w:tcW w:w="9352" w:type="dxa"/>
            <w:tcBorders>
              <w:top w:val="nil"/>
              <w:left w:val="nil"/>
              <w:bottom w:val="nil"/>
              <w:right w:val="nil"/>
            </w:tcBorders>
          </w:tcPr>
          <w:p w14:paraId="1FA7857B" w14:textId="3FABD4FE" w:rsidR="00AE7B88" w:rsidRPr="00F7102E" w:rsidRDefault="00AE7B88" w:rsidP="00A34511">
            <w:pPr>
              <w:tabs>
                <w:tab w:val="left" w:pos="3122"/>
                <w:tab w:val="left" w:pos="3885"/>
                <w:tab w:val="center" w:pos="4664"/>
                <w:tab w:val="right" w:pos="9167"/>
              </w:tabs>
              <w:spacing w:before="240" w:line="240" w:lineRule="auto"/>
              <w:ind w:right="170"/>
              <w:jc w:val="right"/>
              <w:rPr>
                <w:rStyle w:val="Hyperlink"/>
                <w:noProof/>
                <w:u w:val="none"/>
              </w:rPr>
            </w:pPr>
            <w:r>
              <w:rPr>
                <w:noProof/>
                <w:color w:val="2D65B4"/>
              </w:rPr>
              <w:drawing>
                <wp:inline distT="0" distB="0" distL="0" distR="0" wp14:anchorId="3E16EA11" wp14:editId="568B4CD9">
                  <wp:extent cx="5928995" cy="533609"/>
                  <wp:effectExtent l="0" t="0" r="1905" b="0"/>
                  <wp:docPr id="136202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2533"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28995" cy="533609"/>
                          </a:xfrm>
                          <a:prstGeom prst="rect">
                            <a:avLst/>
                          </a:prstGeom>
                        </pic:spPr>
                      </pic:pic>
                    </a:graphicData>
                  </a:graphic>
                </wp:inline>
              </w:drawing>
            </w:r>
          </w:p>
        </w:tc>
      </w:tr>
      <w:tr w:rsidR="00815312" w:rsidRPr="001816E2" w14:paraId="6B1D58B7" w14:textId="77777777" w:rsidTr="566DDE49">
        <w:trPr>
          <w:trHeight w:val="706"/>
          <w:jc w:val="center"/>
        </w:trPr>
        <w:tc>
          <w:tcPr>
            <w:tcW w:w="9352" w:type="dxa"/>
            <w:tcBorders>
              <w:top w:val="nil"/>
              <w:left w:val="nil"/>
              <w:bottom w:val="nil"/>
              <w:right w:val="nil"/>
            </w:tcBorders>
            <w:tcMar>
              <w:top w:w="360" w:type="dxa"/>
              <w:left w:w="360" w:type="dxa"/>
              <w:bottom w:w="504" w:type="dxa"/>
              <w:right w:w="360" w:type="dxa"/>
            </w:tcMar>
          </w:tcPr>
          <w:p w14:paraId="7B55BD6D" w14:textId="3A1E8B3A" w:rsidR="00AA7633" w:rsidRDefault="00B05AAF" w:rsidP="00981BEF">
            <w:pPr>
              <w:spacing w:after="0"/>
              <w:ind w:right="256"/>
              <w:rPr>
                <w:rFonts w:ascii="Arial" w:hAnsi="Arial" w:cs="Arial"/>
                <w:b/>
                <w:bCs/>
                <w:color w:val="000000" w:themeColor="text1"/>
                <w:sz w:val="32"/>
                <w:szCs w:val="32"/>
              </w:rPr>
            </w:pPr>
            <w:r w:rsidRPr="00B05AAF">
              <w:rPr>
                <w:rFonts w:ascii="Arial" w:hAnsi="Arial" w:cs="Arial"/>
                <w:b/>
                <w:bCs/>
                <w:color w:val="000000" w:themeColor="text1"/>
                <w:sz w:val="32"/>
                <w:szCs w:val="32"/>
              </w:rPr>
              <w:t xml:space="preserve">What types of business owners are most likely to benefit from cash balance plans?  </w:t>
            </w:r>
          </w:p>
          <w:p w14:paraId="65AEE2DD" w14:textId="77777777" w:rsidR="00B05AAF" w:rsidRDefault="00B05AAF" w:rsidP="00981BEF">
            <w:pPr>
              <w:spacing w:after="0"/>
              <w:ind w:right="256"/>
              <w:rPr>
                <w:rFonts w:ascii="Arial" w:hAnsi="Arial" w:cs="Arial"/>
                <w:color w:val="404040"/>
                <w:sz w:val="24"/>
                <w:szCs w:val="24"/>
              </w:rPr>
            </w:pPr>
          </w:p>
          <w:p w14:paraId="204B22B8" w14:textId="7ADCFE76" w:rsidR="0071636D" w:rsidRDefault="0071636D" w:rsidP="0071636D">
            <w:pPr>
              <w:pBdr>
                <w:top w:val="single" w:sz="4" w:space="1" w:color="808080" w:themeColor="background1" w:themeShade="80"/>
              </w:pBdr>
              <w:spacing w:after="0"/>
              <w:ind w:right="256"/>
              <w:rPr>
                <w:rFonts w:ascii="Arial" w:hAnsi="Arial" w:cs="Arial"/>
                <w:color w:val="000000" w:themeColor="text1"/>
                <w:sz w:val="28"/>
                <w:szCs w:val="28"/>
              </w:rPr>
            </w:pPr>
          </w:p>
          <w:p w14:paraId="4A41A273" w14:textId="77777777" w:rsidR="00B05AAF" w:rsidRPr="00B05AAF" w:rsidRDefault="00B05AAF" w:rsidP="00B05AAF">
            <w:pPr>
              <w:spacing w:after="0"/>
              <w:ind w:right="256"/>
              <w:rPr>
                <w:rFonts w:ascii="Arial" w:hAnsi="Arial" w:cs="Arial"/>
                <w:color w:val="000000" w:themeColor="text1"/>
                <w:sz w:val="28"/>
                <w:szCs w:val="28"/>
              </w:rPr>
            </w:pPr>
            <w:r w:rsidRPr="00B05AAF">
              <w:rPr>
                <w:rFonts w:ascii="Arial" w:hAnsi="Arial" w:cs="Arial"/>
                <w:color w:val="000000" w:themeColor="text1"/>
                <w:sz w:val="28"/>
                <w:szCs w:val="28"/>
              </w:rPr>
              <w:t>Through our experience, we’ve seen the ideal candidates for a cash balance plan include:</w:t>
            </w:r>
          </w:p>
          <w:p w14:paraId="5301FB14" w14:textId="77777777" w:rsidR="00B05AAF" w:rsidRPr="00B05AAF" w:rsidRDefault="00B05AAF" w:rsidP="00B05AAF">
            <w:pPr>
              <w:spacing w:after="0"/>
              <w:ind w:right="256"/>
              <w:rPr>
                <w:rFonts w:ascii="Arial" w:hAnsi="Arial" w:cs="Arial"/>
                <w:color w:val="000000" w:themeColor="text1"/>
                <w:sz w:val="28"/>
                <w:szCs w:val="28"/>
              </w:rPr>
            </w:pPr>
          </w:p>
          <w:p w14:paraId="0E0A1E49" w14:textId="77777777" w:rsidR="00B05AAF" w:rsidRPr="00B05AAF" w:rsidRDefault="00B05AAF" w:rsidP="00B05AAF">
            <w:pPr>
              <w:pStyle w:val="ListParagraph"/>
              <w:numPr>
                <w:ilvl w:val="0"/>
                <w:numId w:val="11"/>
              </w:numPr>
              <w:spacing w:after="0"/>
              <w:ind w:right="256"/>
              <w:rPr>
                <w:rFonts w:ascii="Arial" w:hAnsi="Arial" w:cs="Arial"/>
                <w:color w:val="000000" w:themeColor="text1"/>
                <w:sz w:val="28"/>
                <w:szCs w:val="28"/>
              </w:rPr>
            </w:pPr>
            <w:r w:rsidRPr="00B05AAF">
              <w:rPr>
                <w:rFonts w:ascii="Arial" w:hAnsi="Arial" w:cs="Arial"/>
                <w:color w:val="000000" w:themeColor="text1"/>
                <w:sz w:val="28"/>
                <w:szCs w:val="28"/>
              </w:rPr>
              <w:t xml:space="preserve">Principals seeking a tax deduction of more than $69,000 ($76,500 if age 50+) or making more than $275,000 per year </w:t>
            </w:r>
          </w:p>
          <w:p w14:paraId="35389F33" w14:textId="77777777" w:rsidR="00B05AAF" w:rsidRPr="00B05AAF" w:rsidRDefault="00B05AAF" w:rsidP="00B05AAF">
            <w:pPr>
              <w:pStyle w:val="ListParagraph"/>
              <w:numPr>
                <w:ilvl w:val="0"/>
                <w:numId w:val="11"/>
              </w:numPr>
              <w:spacing w:after="0"/>
              <w:ind w:right="256"/>
              <w:rPr>
                <w:rFonts w:ascii="Arial" w:hAnsi="Arial" w:cs="Arial"/>
                <w:color w:val="000000" w:themeColor="text1"/>
                <w:sz w:val="28"/>
                <w:szCs w:val="28"/>
              </w:rPr>
            </w:pPr>
            <w:r w:rsidRPr="00B05AAF">
              <w:rPr>
                <w:rFonts w:ascii="Arial" w:hAnsi="Arial" w:cs="Arial"/>
                <w:color w:val="000000" w:themeColor="text1"/>
                <w:sz w:val="28"/>
                <w:szCs w:val="28"/>
              </w:rPr>
              <w:t xml:space="preserve">Highly profitable companies of all types and sizes </w:t>
            </w:r>
          </w:p>
          <w:p w14:paraId="584048B5" w14:textId="77777777" w:rsidR="00B05AAF" w:rsidRPr="00B05AAF" w:rsidRDefault="00B05AAF" w:rsidP="00B05AAF">
            <w:pPr>
              <w:pStyle w:val="ListParagraph"/>
              <w:numPr>
                <w:ilvl w:val="0"/>
                <w:numId w:val="11"/>
              </w:numPr>
              <w:spacing w:after="0"/>
              <w:ind w:right="256"/>
              <w:rPr>
                <w:rFonts w:ascii="Arial" w:hAnsi="Arial" w:cs="Arial"/>
                <w:color w:val="000000" w:themeColor="text1"/>
                <w:sz w:val="28"/>
                <w:szCs w:val="28"/>
              </w:rPr>
            </w:pPr>
            <w:r w:rsidRPr="00B05AAF">
              <w:rPr>
                <w:rFonts w:ascii="Arial" w:hAnsi="Arial" w:cs="Arial"/>
                <w:color w:val="000000" w:themeColor="text1"/>
                <w:sz w:val="28"/>
                <w:szCs w:val="28"/>
              </w:rPr>
              <w:t xml:space="preserve">Successful family businesses and closely held businesses </w:t>
            </w:r>
          </w:p>
          <w:p w14:paraId="35323826" w14:textId="77777777" w:rsidR="00B05AAF" w:rsidRPr="00B05AAF" w:rsidRDefault="00B05AAF" w:rsidP="00B05AAF">
            <w:pPr>
              <w:pStyle w:val="ListParagraph"/>
              <w:numPr>
                <w:ilvl w:val="0"/>
                <w:numId w:val="11"/>
              </w:numPr>
              <w:spacing w:after="0"/>
              <w:ind w:right="256"/>
              <w:rPr>
                <w:rFonts w:ascii="Arial" w:hAnsi="Arial" w:cs="Arial"/>
                <w:color w:val="000000" w:themeColor="text1"/>
                <w:sz w:val="28"/>
                <w:szCs w:val="28"/>
              </w:rPr>
            </w:pPr>
            <w:r w:rsidRPr="00B05AAF">
              <w:rPr>
                <w:rFonts w:ascii="Arial" w:hAnsi="Arial" w:cs="Arial"/>
                <w:color w:val="000000" w:themeColor="text1"/>
                <w:sz w:val="28"/>
                <w:szCs w:val="28"/>
              </w:rPr>
              <w:t xml:space="preserve">CPA and law firms, medical groups, and professional firms </w:t>
            </w:r>
          </w:p>
          <w:p w14:paraId="62A0CEF6" w14:textId="77777777" w:rsidR="00B05AAF" w:rsidRPr="00B05AAF" w:rsidRDefault="00B05AAF" w:rsidP="00B05AAF">
            <w:pPr>
              <w:pStyle w:val="ListParagraph"/>
              <w:numPr>
                <w:ilvl w:val="0"/>
                <w:numId w:val="11"/>
              </w:numPr>
              <w:spacing w:after="0"/>
              <w:ind w:right="256"/>
              <w:rPr>
                <w:rFonts w:ascii="Arial" w:hAnsi="Arial" w:cs="Arial"/>
                <w:color w:val="000000" w:themeColor="text1"/>
                <w:sz w:val="28"/>
                <w:szCs w:val="28"/>
              </w:rPr>
            </w:pPr>
            <w:r w:rsidRPr="00B05AAF">
              <w:rPr>
                <w:rFonts w:ascii="Arial" w:hAnsi="Arial" w:cs="Arial"/>
                <w:color w:val="000000" w:themeColor="text1"/>
                <w:sz w:val="28"/>
                <w:szCs w:val="28"/>
              </w:rPr>
              <w:t>Older owners who need to catch up on retirement savings</w:t>
            </w:r>
          </w:p>
          <w:p w14:paraId="4E30A64F" w14:textId="77777777" w:rsidR="00B05AAF" w:rsidRPr="00B05AAF" w:rsidRDefault="00B05AAF" w:rsidP="00B05AAF">
            <w:pPr>
              <w:spacing w:after="0"/>
              <w:ind w:right="256"/>
              <w:rPr>
                <w:rFonts w:ascii="Arial" w:hAnsi="Arial" w:cs="Arial"/>
                <w:color w:val="000000" w:themeColor="text1"/>
                <w:sz w:val="28"/>
                <w:szCs w:val="28"/>
              </w:rPr>
            </w:pPr>
          </w:p>
          <w:p w14:paraId="3B68F09A" w14:textId="6CB90C4A" w:rsidR="00B05AAF" w:rsidRPr="00B05AAF" w:rsidRDefault="5447244F" w:rsidP="00B05AAF">
            <w:pPr>
              <w:spacing w:after="0"/>
              <w:ind w:right="256"/>
              <w:rPr>
                <w:rFonts w:ascii="Arial" w:hAnsi="Arial" w:cs="Arial"/>
                <w:color w:val="000000" w:themeColor="text1"/>
                <w:sz w:val="28"/>
                <w:szCs w:val="28"/>
              </w:rPr>
            </w:pPr>
            <w:hyperlink r:id="rId9">
              <w:r w:rsidRPr="5447244F">
                <w:rPr>
                  <w:rStyle w:val="Hyperlink"/>
                  <w:rFonts w:ascii="Arial" w:hAnsi="Arial" w:cs="Arial"/>
                  <w:sz w:val="28"/>
                  <w:szCs w:val="28"/>
                </w:rPr>
                <w:t>Identifying Ideal Candidates for Cash Balance Plans</w:t>
              </w:r>
            </w:hyperlink>
            <w:r w:rsidRPr="5447244F">
              <w:rPr>
                <w:rFonts w:ascii="Arial" w:hAnsi="Arial" w:cs="Arial"/>
                <w:color w:val="0070C0"/>
                <w:sz w:val="28"/>
                <w:szCs w:val="28"/>
              </w:rPr>
              <w:t xml:space="preserve"> </w:t>
            </w:r>
            <w:r w:rsidRPr="5447244F">
              <w:rPr>
                <w:rFonts w:ascii="Arial" w:hAnsi="Arial" w:cs="Arial"/>
                <w:color w:val="000000" w:themeColor="text1"/>
                <w:sz w:val="28"/>
                <w:szCs w:val="28"/>
              </w:rPr>
              <w:t>provides more information, including the contribution limits for 2024.</w:t>
            </w:r>
          </w:p>
          <w:p w14:paraId="43E31DDC" w14:textId="77777777" w:rsidR="00B05AAF" w:rsidRPr="00B05AAF" w:rsidRDefault="00B05AAF" w:rsidP="00B05AAF">
            <w:pPr>
              <w:spacing w:after="0"/>
              <w:ind w:right="256"/>
              <w:rPr>
                <w:rFonts w:ascii="Arial" w:hAnsi="Arial" w:cs="Arial"/>
                <w:color w:val="000000" w:themeColor="text1"/>
                <w:sz w:val="28"/>
                <w:szCs w:val="28"/>
              </w:rPr>
            </w:pPr>
          </w:p>
          <w:p w14:paraId="7AFD598F" w14:textId="078929AB" w:rsidR="00B05AAF" w:rsidRPr="00B05AAF" w:rsidRDefault="566DDE49" w:rsidP="00B05AAF">
            <w:pPr>
              <w:spacing w:after="0"/>
              <w:ind w:right="256"/>
              <w:rPr>
                <w:rFonts w:ascii="Arial" w:hAnsi="Arial" w:cs="Arial"/>
                <w:color w:val="000000" w:themeColor="text1"/>
                <w:sz w:val="28"/>
                <w:szCs w:val="28"/>
              </w:rPr>
            </w:pPr>
            <w:r w:rsidRPr="566DDE49">
              <w:rPr>
                <w:rFonts w:ascii="Arial" w:hAnsi="Arial" w:cs="Arial"/>
                <w:color w:val="000000" w:themeColor="text1"/>
                <w:sz w:val="28"/>
                <w:szCs w:val="28"/>
              </w:rPr>
              <w:t>I’m happy to walk through an illustration of how the plans work and discuss which of your clients and prospects may be the best cash balance plan candidates. You can also learn more in the</w:t>
            </w:r>
            <w:hyperlink r:id="rId10" w:history="1">
              <w:r w:rsidRPr="008A4E10">
                <w:rPr>
                  <w:rStyle w:val="Hyperlink"/>
                  <w:rFonts w:ascii="Arial" w:hAnsi="Arial" w:cs="Arial"/>
                  <w:sz w:val="28"/>
                  <w:szCs w:val="28"/>
                </w:rPr>
                <w:t xml:space="preserve"> Advisor Playbook</w:t>
              </w:r>
            </w:hyperlink>
            <w:r w:rsidRPr="566DDE49">
              <w:rPr>
                <w:rFonts w:ascii="Arial" w:hAnsi="Arial" w:cs="Arial"/>
                <w:color w:val="000000" w:themeColor="text1"/>
                <w:sz w:val="28"/>
                <w:szCs w:val="28"/>
              </w:rPr>
              <w:t xml:space="preserve"> on </w:t>
            </w:r>
            <w:r w:rsidRPr="00B958A9">
              <w:rPr>
                <w:rFonts w:ascii="Arial" w:hAnsi="Arial" w:cs="Arial"/>
                <w:b/>
                <w:bCs/>
                <w:sz w:val="28"/>
                <w:szCs w:val="28"/>
              </w:rPr>
              <w:t>Merrill’s RCMA Investment Only Resource Central advisor site</w:t>
            </w:r>
            <w:r w:rsidRPr="00B958A9">
              <w:rPr>
                <w:rFonts w:ascii="Arial" w:hAnsi="Arial" w:cs="Arial"/>
                <w:b/>
                <w:bCs/>
                <w:color w:val="000000" w:themeColor="text1"/>
                <w:sz w:val="28"/>
                <w:szCs w:val="28"/>
              </w:rPr>
              <w:t>.</w:t>
            </w:r>
            <w:r w:rsidRPr="566DDE49">
              <w:rPr>
                <w:rFonts w:ascii="Arial" w:hAnsi="Arial" w:cs="Arial"/>
                <w:color w:val="000000" w:themeColor="text1"/>
                <w:sz w:val="28"/>
                <w:szCs w:val="28"/>
              </w:rPr>
              <w:t xml:space="preserve"> </w:t>
            </w:r>
          </w:p>
          <w:p w14:paraId="6461BE94" w14:textId="77777777" w:rsidR="00B05AAF" w:rsidRPr="00B05AAF" w:rsidRDefault="00B05AAF" w:rsidP="00B05AAF">
            <w:pPr>
              <w:spacing w:after="0"/>
              <w:ind w:right="256"/>
              <w:rPr>
                <w:rFonts w:ascii="Arial" w:hAnsi="Arial" w:cs="Arial"/>
                <w:color w:val="000000" w:themeColor="text1"/>
                <w:sz w:val="28"/>
                <w:szCs w:val="28"/>
              </w:rPr>
            </w:pPr>
          </w:p>
          <w:p w14:paraId="39E2F7BE" w14:textId="77777777" w:rsidR="00B05AAF" w:rsidRDefault="00B05AAF" w:rsidP="00B05AAF">
            <w:pPr>
              <w:spacing w:after="0"/>
              <w:ind w:right="256"/>
              <w:rPr>
                <w:rFonts w:ascii="Arial" w:hAnsi="Arial" w:cs="Arial"/>
                <w:color w:val="000000" w:themeColor="text1"/>
                <w:sz w:val="28"/>
                <w:szCs w:val="28"/>
              </w:rPr>
            </w:pPr>
            <w:r w:rsidRPr="00B05AAF">
              <w:rPr>
                <w:rFonts w:ascii="Arial" w:hAnsi="Arial" w:cs="Arial"/>
                <w:color w:val="000000" w:themeColor="text1"/>
                <w:sz w:val="28"/>
                <w:szCs w:val="28"/>
              </w:rPr>
              <w:t>Thanks,</w:t>
            </w:r>
          </w:p>
          <w:p w14:paraId="26E40FE7" w14:textId="6891BBEA" w:rsidR="009100D5" w:rsidRPr="00B05AAF" w:rsidRDefault="00A34511" w:rsidP="00B05AAF">
            <w:pPr>
              <w:spacing w:after="0"/>
              <w:ind w:right="256"/>
              <w:rPr>
                <w:rFonts w:ascii="Arial" w:hAnsi="Arial" w:cs="Arial"/>
                <w:color w:val="000000" w:themeColor="text1"/>
                <w:sz w:val="28"/>
                <w:szCs w:val="28"/>
              </w:rPr>
            </w:pPr>
            <w:r w:rsidRPr="00A34511">
              <w:rPr>
                <w:rFonts w:ascii="Arial" w:hAnsi="Arial" w:cs="Arial"/>
                <w:b/>
                <w:bCs/>
                <w:sz w:val="28"/>
                <w:szCs w:val="28"/>
              </w:rPr>
              <w:lastRenderedPageBreak/>
              <w:t>John Doe</w:t>
            </w:r>
            <w:r w:rsidRPr="00A34511">
              <w:rPr>
                <w:rFonts w:ascii="Arial" w:hAnsi="Arial" w:cs="Arial"/>
                <w:sz w:val="28"/>
                <w:szCs w:val="28"/>
              </w:rPr>
              <w:br/>
            </w:r>
            <w:hyperlink r:id="rId11" w:tgtFrame="_blank" w:history="1">
              <w:r w:rsidRPr="00A34511">
                <w:rPr>
                  <w:rStyle w:val="Hyperlink"/>
                  <w:rFonts w:ascii="Arial" w:hAnsi="Arial" w:cs="Arial"/>
                  <w:sz w:val="28"/>
                  <w:szCs w:val="28"/>
                </w:rPr>
                <w:t>JohnDoe@futureplan.com</w:t>
              </w:r>
            </w:hyperlink>
            <w:r w:rsidRPr="00A34511">
              <w:rPr>
                <w:rFonts w:ascii="Arial" w:hAnsi="Arial" w:cs="Arial"/>
                <w:sz w:val="28"/>
                <w:szCs w:val="28"/>
              </w:rPr>
              <w:br/>
              <w:t>718-111-1111</w:t>
            </w:r>
          </w:p>
          <w:tbl>
            <w:tblPr>
              <w:tblW w:w="0" w:type="auto"/>
              <w:tblLayout w:type="fixed"/>
              <w:tblCellMar>
                <w:left w:w="0" w:type="dxa"/>
                <w:right w:w="0" w:type="dxa"/>
              </w:tblCellMar>
              <w:tblLook w:val="04A0" w:firstRow="1" w:lastRow="0" w:firstColumn="1" w:lastColumn="0" w:noHBand="0" w:noVBand="1"/>
            </w:tblPr>
            <w:tblGrid>
              <w:gridCol w:w="450"/>
            </w:tblGrid>
            <w:tr w:rsidR="0071636D" w14:paraId="71B03AEE" w14:textId="77777777" w:rsidTr="0071636D">
              <w:tc>
                <w:tcPr>
                  <w:tcW w:w="450" w:type="dxa"/>
                  <w:shd w:val="clear" w:color="auto" w:fill="FFFFFF"/>
                  <w:tcMar>
                    <w:top w:w="0" w:type="dxa"/>
                    <w:left w:w="0" w:type="dxa"/>
                    <w:bottom w:w="0" w:type="dxa"/>
                    <w:right w:w="0" w:type="dxa"/>
                  </w:tcMar>
                  <w:hideMark/>
                </w:tcPr>
                <w:p w14:paraId="6834546E" w14:textId="3FF470EA" w:rsidR="0071636D" w:rsidRDefault="0071636D" w:rsidP="0071636D">
                  <w:pPr>
                    <w:spacing w:line="300" w:lineRule="auto"/>
                    <w:ind w:right="-90"/>
                    <w:rPr>
                      <w:rFonts w:ascii="Arial" w:hAnsi="Arial"/>
                      <w:color w:val="000000"/>
                      <w:sz w:val="24"/>
                      <w:szCs w:val="24"/>
                    </w:rPr>
                  </w:pPr>
                </w:p>
              </w:tc>
            </w:tr>
            <w:tr w:rsidR="0071636D" w:rsidRPr="00B35425" w14:paraId="26FD0941" w14:textId="77777777" w:rsidTr="0071636D">
              <w:tc>
                <w:tcPr>
                  <w:tcW w:w="450" w:type="dxa"/>
                  <w:shd w:val="clear" w:color="auto" w:fill="FFFFFF"/>
                  <w:tcMar>
                    <w:top w:w="0" w:type="dxa"/>
                    <w:left w:w="0" w:type="dxa"/>
                    <w:bottom w:w="0" w:type="dxa"/>
                    <w:right w:w="0" w:type="dxa"/>
                  </w:tcMar>
                  <w:hideMark/>
                </w:tcPr>
                <w:p w14:paraId="10D1B938" w14:textId="1787632D" w:rsidR="0071636D" w:rsidRDefault="0071636D" w:rsidP="0071636D">
                  <w:pPr>
                    <w:spacing w:line="300" w:lineRule="auto"/>
                    <w:ind w:right="-90"/>
                    <w:rPr>
                      <w:rFonts w:ascii="Arial" w:hAnsi="Arial"/>
                      <w:noProof/>
                      <w:color w:val="000000"/>
                      <w:sz w:val="24"/>
                      <w:szCs w:val="24"/>
                    </w:rPr>
                  </w:pPr>
                </w:p>
              </w:tc>
            </w:tr>
          </w:tbl>
          <w:p w14:paraId="5458BB7C" w14:textId="77777777" w:rsidR="004743BE" w:rsidRPr="002305DC" w:rsidRDefault="004743BE" w:rsidP="004575D8">
            <w:pPr>
              <w:spacing w:after="0"/>
              <w:ind w:left="360" w:right="256"/>
              <w:rPr>
                <w:rFonts w:ascii="Arial" w:hAnsi="Arial" w:cs="Arial"/>
                <w:color w:val="383838"/>
              </w:rPr>
            </w:pPr>
          </w:p>
        </w:tc>
      </w:tr>
      <w:tr w:rsidR="00815312" w:rsidRPr="001816E2" w14:paraId="374F3584" w14:textId="77777777" w:rsidTr="00080689">
        <w:trPr>
          <w:trHeight w:val="2088"/>
          <w:jc w:val="center"/>
        </w:trPr>
        <w:tc>
          <w:tcPr>
            <w:tcW w:w="9352" w:type="dxa"/>
            <w:tcBorders>
              <w:top w:val="nil"/>
            </w:tcBorders>
            <w:shd w:val="clear" w:color="auto" w:fill="262626" w:themeFill="text1" w:themeFillTint="D9"/>
            <w:tcMar>
              <w:bottom w:w="360" w:type="dxa"/>
            </w:tcMar>
            <w:vAlign w:val="center"/>
          </w:tcPr>
          <w:p w14:paraId="1E999B85" w14:textId="00EC7CB2" w:rsidR="00292376" w:rsidRPr="00D07D8F" w:rsidRDefault="00815312" w:rsidP="00D07D8F">
            <w:pPr>
              <w:spacing w:after="0" w:line="240" w:lineRule="auto"/>
              <w:ind w:right="346"/>
              <w:contextualSpacing/>
              <w:rPr>
                <w:rFonts w:ascii="Arial" w:hAnsi="Arial" w:cs="Arial"/>
                <w:color w:val="3B3838"/>
                <w:sz w:val="16"/>
                <w:szCs w:val="16"/>
              </w:rPr>
            </w:pPr>
            <w:r w:rsidRPr="00FF0E54">
              <w:rPr>
                <w:rFonts w:ascii="Arial" w:hAnsi="Arial" w:cs="Arial"/>
                <w:color w:val="3B3838"/>
                <w:sz w:val="16"/>
                <w:szCs w:val="16"/>
              </w:rPr>
              <w:lastRenderedPageBreak/>
              <w:t> </w:t>
            </w:r>
          </w:p>
          <w:p w14:paraId="2585F1E7" w14:textId="47FF7CB2" w:rsidR="009100D5" w:rsidRPr="009100D5" w:rsidRDefault="009100D5" w:rsidP="00292376">
            <w:pPr>
              <w:ind w:left="346" w:right="256"/>
              <w:rPr>
                <w:rFonts w:ascii="Arial" w:hAnsi="Arial" w:cs="Arial"/>
                <w:color w:val="FFFFFF" w:themeColor="background1"/>
                <w:sz w:val="24"/>
                <w:szCs w:val="24"/>
              </w:rPr>
            </w:pPr>
            <w:r w:rsidRPr="00BA281C">
              <w:rPr>
                <w:rFonts w:ascii="Arial" w:hAnsi="Arial" w:cs="Arial"/>
                <w:sz w:val="24"/>
                <w:szCs w:val="24"/>
              </w:rPr>
              <w:t>www.</w:t>
            </w:r>
            <w:r w:rsidR="00BA281C" w:rsidRPr="00BA281C">
              <w:rPr>
                <w:rFonts w:ascii="Arial" w:hAnsi="Arial" w:cs="Arial"/>
                <w:sz w:val="24"/>
                <w:szCs w:val="24"/>
              </w:rPr>
              <w:t>futureplan.co</w:t>
            </w:r>
            <w:r w:rsidR="00BA281C">
              <w:rPr>
                <w:rFonts w:ascii="Arial" w:hAnsi="Arial" w:cs="Arial"/>
                <w:sz w:val="24"/>
                <w:szCs w:val="24"/>
              </w:rPr>
              <w:t>m</w:t>
            </w:r>
          </w:p>
          <w:p w14:paraId="7B77F022" w14:textId="77777777" w:rsidR="00292376" w:rsidRPr="00292376" w:rsidRDefault="00292376" w:rsidP="009100D5">
            <w:pPr>
              <w:ind w:right="256"/>
              <w:rPr>
                <w:rFonts w:ascii="Arial" w:hAnsi="Arial" w:cs="Arial"/>
                <w:b/>
                <w:bCs/>
                <w:color w:val="FFFFFF" w:themeColor="background1"/>
                <w:sz w:val="18"/>
                <w:szCs w:val="18"/>
              </w:rPr>
            </w:pPr>
          </w:p>
          <w:p w14:paraId="1DCBAB25" w14:textId="375C098C" w:rsidR="00A34511" w:rsidRPr="00A34511" w:rsidRDefault="00A34511" w:rsidP="00A34511">
            <w:pPr>
              <w:ind w:left="346" w:right="256"/>
              <w:rPr>
                <w:rFonts w:ascii="Arial" w:eastAsia="Times New Roman" w:hAnsi="Arial" w:cs="Arial"/>
                <w:color w:val="D9D9D9" w:themeColor="background1" w:themeShade="D9"/>
                <w:sz w:val="18"/>
                <w:szCs w:val="18"/>
              </w:rPr>
            </w:pPr>
            <w:r w:rsidRPr="00A34511">
              <w:rPr>
                <w:rFonts w:ascii="Arial" w:eastAsia="Times New Roman" w:hAnsi="Arial" w:cs="Arial"/>
                <w:color w:val="D9D9D9" w:themeColor="background1" w:themeShade="D9"/>
                <w:sz w:val="18"/>
                <w:szCs w:val="18"/>
              </w:rPr>
              <w:t>FuturePlan by Ascensus provides plan design, administration, and compliance services. It is not a broker-dealer or an investment advisor and does not provide tax, legal, or accounting services.</w:t>
            </w:r>
          </w:p>
          <w:p w14:paraId="05EEDADE" w14:textId="084B3DD7" w:rsidR="00815312" w:rsidRPr="00080689" w:rsidRDefault="00A34511" w:rsidP="00080689">
            <w:pPr>
              <w:ind w:left="346" w:right="256"/>
              <w:rPr>
                <w:rFonts w:ascii="Arial" w:eastAsia="Times New Roman" w:hAnsi="Arial" w:cs="Arial"/>
                <w:color w:val="D9D9D9" w:themeColor="background1" w:themeShade="D9"/>
                <w:sz w:val="18"/>
                <w:szCs w:val="18"/>
              </w:rPr>
            </w:pPr>
            <w:r w:rsidRPr="00A34511">
              <w:rPr>
                <w:rFonts w:ascii="Arial" w:eastAsia="Times New Roman" w:hAnsi="Arial" w:cs="Arial"/>
                <w:color w:val="D9D9D9" w:themeColor="background1" w:themeShade="D9"/>
                <w:sz w:val="18"/>
                <w:szCs w:val="18"/>
              </w:rPr>
              <w:t>Copyright ©202</w:t>
            </w:r>
            <w:r w:rsidR="00080689">
              <w:rPr>
                <w:rFonts w:ascii="Arial" w:eastAsia="Times New Roman" w:hAnsi="Arial" w:cs="Arial"/>
                <w:color w:val="D9D9D9" w:themeColor="background1" w:themeShade="D9"/>
                <w:sz w:val="18"/>
                <w:szCs w:val="18"/>
              </w:rPr>
              <w:t>5</w:t>
            </w:r>
            <w:r w:rsidRPr="00A34511">
              <w:rPr>
                <w:rFonts w:ascii="Arial" w:eastAsia="Times New Roman" w:hAnsi="Arial" w:cs="Arial"/>
                <w:color w:val="D9D9D9" w:themeColor="background1" w:themeShade="D9"/>
                <w:sz w:val="18"/>
                <w:szCs w:val="18"/>
              </w:rPr>
              <w:t>, Ascensus LLC. All rights reserved.</w:t>
            </w:r>
          </w:p>
        </w:tc>
      </w:tr>
    </w:tbl>
    <w:p w14:paraId="74C4CBA3" w14:textId="77777777" w:rsidR="0085132B" w:rsidRPr="00815312" w:rsidRDefault="0085132B">
      <w:pPr>
        <w:rPr>
          <w:b/>
          <w:bCs/>
        </w:rPr>
      </w:pPr>
    </w:p>
    <w:sectPr w:rsidR="0085132B" w:rsidRPr="008153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22A9" w14:textId="77777777" w:rsidR="00C90D31" w:rsidRDefault="00C90D31" w:rsidP="00D07D8F">
      <w:pPr>
        <w:spacing w:after="0" w:line="240" w:lineRule="auto"/>
      </w:pPr>
      <w:r>
        <w:separator/>
      </w:r>
    </w:p>
  </w:endnote>
  <w:endnote w:type="continuationSeparator" w:id="0">
    <w:p w14:paraId="6B3339D2" w14:textId="77777777" w:rsidR="00C90D31" w:rsidRDefault="00C90D31" w:rsidP="00D0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A337" w14:textId="77777777" w:rsidR="00C90D31" w:rsidRDefault="00C90D31" w:rsidP="00D07D8F">
      <w:pPr>
        <w:spacing w:after="0" w:line="240" w:lineRule="auto"/>
      </w:pPr>
      <w:r>
        <w:separator/>
      </w:r>
    </w:p>
  </w:footnote>
  <w:footnote w:type="continuationSeparator" w:id="0">
    <w:p w14:paraId="0E3F81E7" w14:textId="77777777" w:rsidR="00C90D31" w:rsidRDefault="00C90D31" w:rsidP="00D07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5B"/>
    <w:multiLevelType w:val="hybridMultilevel"/>
    <w:tmpl w:val="159E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33CA7"/>
    <w:multiLevelType w:val="hybridMultilevel"/>
    <w:tmpl w:val="0542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871CF"/>
    <w:multiLevelType w:val="hybridMultilevel"/>
    <w:tmpl w:val="DCDC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710AF"/>
    <w:multiLevelType w:val="hybridMultilevel"/>
    <w:tmpl w:val="5686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C5425"/>
    <w:multiLevelType w:val="hybridMultilevel"/>
    <w:tmpl w:val="BAC6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6151F"/>
    <w:multiLevelType w:val="hybridMultilevel"/>
    <w:tmpl w:val="02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E0234"/>
    <w:multiLevelType w:val="hybridMultilevel"/>
    <w:tmpl w:val="7F822190"/>
    <w:lvl w:ilvl="0" w:tplc="FE06C062">
      <w:numFmt w:val="bullet"/>
      <w:lvlText w:val="•"/>
      <w:lvlJc w:val="left"/>
      <w:pPr>
        <w:ind w:left="720" w:hanging="72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7354CC"/>
    <w:multiLevelType w:val="hybridMultilevel"/>
    <w:tmpl w:val="E18E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B59FE"/>
    <w:multiLevelType w:val="hybridMultilevel"/>
    <w:tmpl w:val="18C22022"/>
    <w:lvl w:ilvl="0" w:tplc="FE06C06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D564D"/>
    <w:multiLevelType w:val="hybridMultilevel"/>
    <w:tmpl w:val="0F62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779F3"/>
    <w:multiLevelType w:val="hybridMultilevel"/>
    <w:tmpl w:val="54E4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584379">
    <w:abstractNumId w:val="2"/>
  </w:num>
  <w:num w:numId="2" w16cid:durableId="1362782284">
    <w:abstractNumId w:val="9"/>
  </w:num>
  <w:num w:numId="3" w16cid:durableId="1695837537">
    <w:abstractNumId w:val="8"/>
  </w:num>
  <w:num w:numId="4" w16cid:durableId="200092275">
    <w:abstractNumId w:val="6"/>
  </w:num>
  <w:num w:numId="5" w16cid:durableId="138498634">
    <w:abstractNumId w:val="5"/>
  </w:num>
  <w:num w:numId="6" w16cid:durableId="1565409866">
    <w:abstractNumId w:val="7"/>
  </w:num>
  <w:num w:numId="7" w16cid:durableId="355885426">
    <w:abstractNumId w:val="4"/>
  </w:num>
  <w:num w:numId="8" w16cid:durableId="1741319241">
    <w:abstractNumId w:val="10"/>
  </w:num>
  <w:num w:numId="9" w16cid:durableId="768543264">
    <w:abstractNumId w:val="3"/>
  </w:num>
  <w:num w:numId="10" w16cid:durableId="882139149">
    <w:abstractNumId w:val="1"/>
  </w:num>
  <w:num w:numId="11" w16cid:durableId="11167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12"/>
    <w:rsid w:val="00030BF8"/>
    <w:rsid w:val="00033F00"/>
    <w:rsid w:val="00080689"/>
    <w:rsid w:val="000E741F"/>
    <w:rsid w:val="00100D95"/>
    <w:rsid w:val="00105FFE"/>
    <w:rsid w:val="00160D99"/>
    <w:rsid w:val="001F5F13"/>
    <w:rsid w:val="00221F8A"/>
    <w:rsid w:val="002305DC"/>
    <w:rsid w:val="002908CF"/>
    <w:rsid w:val="00292376"/>
    <w:rsid w:val="002E3EEA"/>
    <w:rsid w:val="002E4FDE"/>
    <w:rsid w:val="002F40C5"/>
    <w:rsid w:val="00340AFA"/>
    <w:rsid w:val="00424D45"/>
    <w:rsid w:val="0044581C"/>
    <w:rsid w:val="004575D8"/>
    <w:rsid w:val="00463CBF"/>
    <w:rsid w:val="004743BE"/>
    <w:rsid w:val="0049561F"/>
    <w:rsid w:val="004A4703"/>
    <w:rsid w:val="004C1378"/>
    <w:rsid w:val="004C7EDB"/>
    <w:rsid w:val="00553BB7"/>
    <w:rsid w:val="006817E4"/>
    <w:rsid w:val="006B20BB"/>
    <w:rsid w:val="0071636D"/>
    <w:rsid w:val="00766532"/>
    <w:rsid w:val="00815312"/>
    <w:rsid w:val="008377F2"/>
    <w:rsid w:val="0085132B"/>
    <w:rsid w:val="00862776"/>
    <w:rsid w:val="0087217C"/>
    <w:rsid w:val="0087445A"/>
    <w:rsid w:val="008A4E10"/>
    <w:rsid w:val="009100D5"/>
    <w:rsid w:val="0092629C"/>
    <w:rsid w:val="009605BD"/>
    <w:rsid w:val="00981BEF"/>
    <w:rsid w:val="00A13047"/>
    <w:rsid w:val="00A34511"/>
    <w:rsid w:val="00AA7633"/>
    <w:rsid w:val="00AE7B88"/>
    <w:rsid w:val="00AF2946"/>
    <w:rsid w:val="00B05AAF"/>
    <w:rsid w:val="00B12B9A"/>
    <w:rsid w:val="00B35425"/>
    <w:rsid w:val="00B864A0"/>
    <w:rsid w:val="00B877EA"/>
    <w:rsid w:val="00B958A9"/>
    <w:rsid w:val="00BA281C"/>
    <w:rsid w:val="00BD65CB"/>
    <w:rsid w:val="00C90D31"/>
    <w:rsid w:val="00CD7A0B"/>
    <w:rsid w:val="00CE19B0"/>
    <w:rsid w:val="00D07D8F"/>
    <w:rsid w:val="00E417D4"/>
    <w:rsid w:val="00E44367"/>
    <w:rsid w:val="00EF57A8"/>
    <w:rsid w:val="00F35FAE"/>
    <w:rsid w:val="00F7102E"/>
    <w:rsid w:val="00FB545C"/>
    <w:rsid w:val="00FF0E54"/>
    <w:rsid w:val="5447244F"/>
    <w:rsid w:val="566DD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6121"/>
  <w15:chartTrackingRefBased/>
  <w15:docId w15:val="{3D46CE0B-1162-8842-A7B1-2810CA1C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12"/>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15312"/>
    <w:rPr>
      <w:strike w:val="0"/>
      <w:dstrike w:val="0"/>
      <w:color w:val="2D65B4"/>
      <w:u w:val="single"/>
      <w:effect w:val="none"/>
    </w:rPr>
  </w:style>
  <w:style w:type="paragraph" w:styleId="ListParagraph">
    <w:name w:val="List Paragraph"/>
    <w:basedOn w:val="Normal"/>
    <w:uiPriority w:val="34"/>
    <w:qFormat/>
    <w:rsid w:val="00815312"/>
    <w:pPr>
      <w:ind w:left="720"/>
      <w:contextualSpacing/>
    </w:pPr>
  </w:style>
  <w:style w:type="character" w:styleId="FollowedHyperlink">
    <w:name w:val="FollowedHyperlink"/>
    <w:basedOn w:val="DefaultParagraphFont"/>
    <w:uiPriority w:val="99"/>
    <w:semiHidden/>
    <w:unhideWhenUsed/>
    <w:rsid w:val="00981BEF"/>
    <w:rPr>
      <w:color w:val="96607D" w:themeColor="followedHyperlink"/>
      <w:u w:val="single"/>
    </w:rPr>
  </w:style>
  <w:style w:type="character" w:styleId="UnresolvedMention">
    <w:name w:val="Unresolved Mention"/>
    <w:basedOn w:val="DefaultParagraphFont"/>
    <w:uiPriority w:val="99"/>
    <w:semiHidden/>
    <w:unhideWhenUsed/>
    <w:rsid w:val="009100D5"/>
    <w:rPr>
      <w:color w:val="605E5C"/>
      <w:shd w:val="clear" w:color="auto" w:fill="E1DFDD"/>
    </w:rPr>
  </w:style>
  <w:style w:type="paragraph" w:styleId="Header">
    <w:name w:val="header"/>
    <w:basedOn w:val="Normal"/>
    <w:link w:val="HeaderChar"/>
    <w:uiPriority w:val="99"/>
    <w:unhideWhenUsed/>
    <w:rsid w:val="00D07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8F"/>
    <w:rPr>
      <w:sz w:val="22"/>
      <w:szCs w:val="22"/>
    </w:rPr>
  </w:style>
  <w:style w:type="paragraph" w:styleId="Footer">
    <w:name w:val="footer"/>
    <w:basedOn w:val="Normal"/>
    <w:link w:val="FooterChar"/>
    <w:uiPriority w:val="99"/>
    <w:unhideWhenUsed/>
    <w:rsid w:val="00D07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80913">
      <w:bodyDiv w:val="1"/>
      <w:marLeft w:val="0"/>
      <w:marRight w:val="0"/>
      <w:marTop w:val="0"/>
      <w:marBottom w:val="0"/>
      <w:divBdr>
        <w:top w:val="none" w:sz="0" w:space="0" w:color="auto"/>
        <w:left w:val="none" w:sz="0" w:space="0" w:color="auto"/>
        <w:bottom w:val="none" w:sz="0" w:space="0" w:color="auto"/>
        <w:right w:val="none" w:sz="0" w:space="0" w:color="auto"/>
      </w:divBdr>
    </w:div>
    <w:div w:id="18857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ck.retsupport-mail.com/?qs=6d4ff386d17647fc7007b390f3d2642c1c4e30cfcdefcee63e4f613eae453aa50229e382dba3307a0d5e419c36320b03941468a9a920d267" TargetMode="External"/><Relationship Id="rId5" Type="http://schemas.openxmlformats.org/officeDocument/2006/relationships/footnotes" Target="footnotes.xml"/><Relationship Id="rId10" Type="http://schemas.openxmlformats.org/officeDocument/2006/relationships/hyperlink" Target="https://assets.futureplan.com/futureplan-assets/NSB-Playbook.pdf" TargetMode="External"/><Relationship Id="rId4" Type="http://schemas.openxmlformats.org/officeDocument/2006/relationships/webSettings" Target="webSettings.xml"/><Relationship Id="rId9" Type="http://schemas.openxmlformats.org/officeDocument/2006/relationships/hyperlink" Target="https://assets.futureplan.com/futureplan-assets/FPIdealCandidateC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Mincheski</dc:creator>
  <cp:keywords/>
  <dc:description/>
  <cp:lastModifiedBy>Elizabeth Pagano</cp:lastModifiedBy>
  <cp:revision>7</cp:revision>
  <dcterms:created xsi:type="dcterms:W3CDTF">2025-02-11T04:40:00Z</dcterms:created>
  <dcterms:modified xsi:type="dcterms:W3CDTF">2025-02-25T22:24:00Z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498344250</vt:i4>
  </property>
  <property fmtid="{D5CDD505-2E9C-101B-9397-08002B2CF9AE}" pid="3" name="_NewReviewCycle">
    <vt:lpwstr/>
  </property>
  <property fmtid="{D5CDD505-2E9C-101B-9397-08002B2CF9AE}" pid="4" name="_EmailSubject">
    <vt:lpwstr>Email 2-2</vt:lpwstr>
  </property>
  <property fmtid="{D5CDD505-2E9C-101B-9397-08002B2CF9AE}" pid="5" name="_AuthorEmail">
    <vt:lpwstr>Elizabeth.Pagano@futureplan.com</vt:lpwstr>
  </property>
  <property fmtid="{D5CDD505-2E9C-101B-9397-08002B2CF9AE}" pid="6" name="_AuthorEmailDisplayName">
    <vt:lpwstr>Elizabeth Pagano</vt:lpwstr>
  </property>
  <property fmtid="{D5CDD505-2E9C-101B-9397-08002B2CF9AE}" pid="7" name="_PreviousAdHocReviewCycleID">
    <vt:i4>105831269</vt:i4>
  </property>
</Properties>
</file>